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57E7" w14:textId="010EC70A" w:rsidR="00C2436F" w:rsidRDefault="00050472" w:rsidP="00C2436F">
      <w:pPr>
        <w:jc w:val="center"/>
        <w:textAlignment w:val="baseline"/>
        <w:rPr>
          <w:rFonts w:ascii="Times" w:hAnsi="Times" w:cstheme="minorHAnsi"/>
          <w:b/>
          <w:bCs/>
          <w:color w:val="000000"/>
          <w:bdr w:val="none" w:sz="0" w:space="0" w:color="auto" w:frame="1"/>
        </w:rPr>
      </w:pPr>
      <w:r w:rsidRPr="00DE6656">
        <w:rPr>
          <w:rFonts w:ascii="Times" w:hAnsi="Times" w:cstheme="minorHAnsi"/>
          <w:b/>
          <w:bCs/>
          <w:color w:val="000000"/>
          <w:bdr w:val="none" w:sz="0" w:space="0" w:color="auto" w:frame="1"/>
        </w:rPr>
        <w:t>L</w:t>
      </w:r>
      <w:r w:rsidR="00DE6656">
        <w:rPr>
          <w:rFonts w:ascii="Times" w:hAnsi="Times" w:cstheme="minorHAnsi"/>
          <w:b/>
          <w:bCs/>
          <w:color w:val="000000"/>
          <w:bdr w:val="none" w:sz="0" w:space="0" w:color="auto" w:frame="1"/>
        </w:rPr>
        <w:t>EGAL HISTORY</w:t>
      </w:r>
      <w:r w:rsidR="005118DF">
        <w:rPr>
          <w:rFonts w:ascii="Times" w:hAnsi="Times" w:cstheme="minorHAnsi"/>
          <w:b/>
          <w:bCs/>
          <w:color w:val="000000"/>
          <w:bdr w:val="none" w:sz="0" w:space="0" w:color="auto" w:frame="1"/>
        </w:rPr>
        <w:t xml:space="preserve"> - AMERICAN DOMESTIC BIOTERRORISM PROGRAM</w:t>
      </w:r>
    </w:p>
    <w:p w14:paraId="6D65E3B3" w14:textId="77777777" w:rsidR="00CC142A" w:rsidRDefault="00CC142A" w:rsidP="00C2436F">
      <w:pPr>
        <w:jc w:val="center"/>
        <w:textAlignment w:val="baseline"/>
        <w:rPr>
          <w:rFonts w:ascii="Times" w:hAnsi="Times" w:cstheme="minorHAnsi"/>
          <w:b/>
          <w:bCs/>
          <w:color w:val="000000"/>
          <w:bdr w:val="none" w:sz="0" w:space="0" w:color="auto" w:frame="1"/>
        </w:rPr>
      </w:pPr>
    </w:p>
    <w:p w14:paraId="78DD3F5D" w14:textId="77777777" w:rsidR="00937899" w:rsidRPr="00C2436F" w:rsidRDefault="00DE6656" w:rsidP="00C2436F">
      <w:pPr>
        <w:jc w:val="center"/>
        <w:textAlignment w:val="baseline"/>
        <w:rPr>
          <w:rFonts w:ascii="Times" w:hAnsi="Times" w:cstheme="minorHAnsi"/>
          <w:i/>
          <w:iCs/>
          <w:color w:val="000000"/>
          <w:bdr w:val="none" w:sz="0" w:space="0" w:color="auto" w:frame="1"/>
        </w:rPr>
      </w:pPr>
      <w:r w:rsidRPr="00C2436F">
        <w:rPr>
          <w:rFonts w:ascii="Times" w:hAnsi="Times" w:cstheme="minorHAnsi"/>
          <w:i/>
          <w:iCs/>
          <w:color w:val="000000"/>
          <w:bdr w:val="none" w:sz="0" w:space="0" w:color="auto" w:frame="1"/>
        </w:rPr>
        <w:t>E</w:t>
      </w:r>
      <w:r w:rsidR="00050472" w:rsidRPr="00C2436F">
        <w:rPr>
          <w:rFonts w:ascii="Times" w:hAnsi="Times" w:cstheme="minorHAnsi"/>
          <w:i/>
          <w:iCs/>
          <w:color w:val="000000"/>
          <w:bdr w:val="none" w:sz="0" w:space="0" w:color="auto" w:frame="1"/>
        </w:rPr>
        <w:t>nabling statutes, regulations, executive orders, guidance documents and budget allocations.</w:t>
      </w:r>
    </w:p>
    <w:p w14:paraId="5AD4BE02" w14:textId="77777777" w:rsidR="00C2436F" w:rsidRPr="00DE6656" w:rsidRDefault="00C2436F" w:rsidP="00C2436F">
      <w:pPr>
        <w:jc w:val="center"/>
        <w:textAlignment w:val="baseline"/>
        <w:rPr>
          <w:rFonts w:ascii="Times" w:hAnsi="Times" w:cstheme="minorHAnsi"/>
          <w:b/>
          <w:bCs/>
          <w:color w:val="000000"/>
          <w:bdr w:val="none" w:sz="0" w:space="0" w:color="auto" w:frame="1"/>
        </w:rPr>
      </w:pPr>
    </w:p>
    <w:p w14:paraId="2E8A29DF" w14:textId="4B2AFE59" w:rsidR="00CC142A" w:rsidRPr="00B35D5C" w:rsidRDefault="00CC142A" w:rsidP="003459BE">
      <w:pPr>
        <w:jc w:val="both"/>
        <w:rPr>
          <w:b/>
          <w:bCs/>
        </w:rPr>
      </w:pPr>
      <w:r>
        <w:tab/>
      </w:r>
      <w:r w:rsidR="00B24885" w:rsidRPr="003459BE">
        <w:t xml:space="preserve">At least six Congressionally-authorized statutory frameworks and related budget appropriations, reinforced through </w:t>
      </w:r>
      <w:r w:rsidR="00937899" w:rsidRPr="003459BE">
        <w:t xml:space="preserve">Presidential Executive Orders and related executive </w:t>
      </w:r>
      <w:r w:rsidR="00B24885" w:rsidRPr="003459BE">
        <w:t xml:space="preserve">branch </w:t>
      </w:r>
      <w:r w:rsidR="00937899" w:rsidRPr="003459BE">
        <w:t>declaration</w:t>
      </w:r>
      <w:r w:rsidR="00884E52" w:rsidRPr="003459BE">
        <w:t>s,</w:t>
      </w:r>
      <w:r w:rsidR="00884E52" w:rsidRPr="003459BE">
        <w:rPr>
          <w:vertAlign w:val="superscript"/>
        </w:rPr>
        <w:endnoteReference w:id="1"/>
      </w:r>
      <w:r w:rsidR="003459BE" w:rsidRPr="003459BE">
        <w:t xml:space="preserve"> </w:t>
      </w:r>
      <w:r w:rsidR="00937899" w:rsidRPr="003459BE">
        <w:t xml:space="preserve">and </w:t>
      </w:r>
      <w:r w:rsidR="00B24885" w:rsidRPr="003459BE">
        <w:t xml:space="preserve">implemented through </w:t>
      </w:r>
      <w:r w:rsidR="00937899" w:rsidRPr="003459BE">
        <w:t>hundreds of regulatory amendments,</w:t>
      </w:r>
      <w:r w:rsidR="00942D0F" w:rsidRPr="003459BE">
        <w:rPr>
          <w:vertAlign w:val="superscript"/>
        </w:rPr>
        <w:endnoteReference w:id="2"/>
      </w:r>
      <w:r w:rsidR="00942D0F" w:rsidRPr="003459BE">
        <w:t xml:space="preserve"> </w:t>
      </w:r>
      <w:r w:rsidR="00B24885" w:rsidRPr="003459BE">
        <w:t xml:space="preserve">mostly </w:t>
      </w:r>
      <w:r w:rsidR="00937899" w:rsidRPr="003459BE">
        <w:t>promulgated through the Federal Register since 1969, appear to have authorized and funded a coordinated US Government attack</w:t>
      </w:r>
      <w:r w:rsidR="001A0673" w:rsidRPr="003459BE">
        <w:t xml:space="preserve"> </w:t>
      </w:r>
      <w:r>
        <w:t>(</w:t>
      </w:r>
      <w:r w:rsidR="001A0673" w:rsidRPr="003459BE">
        <w:t>actors</w:t>
      </w:r>
      <w:r>
        <w:t>)</w:t>
      </w:r>
      <w:r w:rsidR="001A0673" w:rsidRPr="003459BE">
        <w:t>,</w:t>
      </w:r>
      <w:r w:rsidR="00937899" w:rsidRPr="003459BE">
        <w:t xml:space="preserve"> </w:t>
      </w:r>
      <w:r w:rsidR="008740E8" w:rsidRPr="003459BE">
        <w:t xml:space="preserve">on </w:t>
      </w:r>
      <w:r w:rsidR="00937899" w:rsidRPr="003459BE">
        <w:t>the American people</w:t>
      </w:r>
      <w:r w:rsidR="001A0673" w:rsidRPr="003459BE">
        <w:t xml:space="preserve"> </w:t>
      </w:r>
      <w:r>
        <w:t>(</w:t>
      </w:r>
      <w:r w:rsidR="001A0673" w:rsidRPr="003459BE">
        <w:t>targets</w:t>
      </w:r>
      <w:r>
        <w:t>)</w:t>
      </w:r>
      <w:r w:rsidR="001A0673" w:rsidRPr="003459BE">
        <w:t xml:space="preserve">, </w:t>
      </w:r>
      <w:r w:rsidR="00937899" w:rsidRPr="003459BE">
        <w:t xml:space="preserve">using </w:t>
      </w:r>
      <w:r w:rsidR="00B35D5C" w:rsidRPr="00B35D5C">
        <w:t xml:space="preserve">noncompliant biological material </w:t>
      </w:r>
      <w:r w:rsidR="004A75DC">
        <w:t>(</w:t>
      </w:r>
      <w:r w:rsidR="00937899" w:rsidRPr="003459BE">
        <w:t>bioagents</w:t>
      </w:r>
      <w:r w:rsidR="004A75DC">
        <w:t>) distributed across state borders labelled as "Covid-19 vaccines</w:t>
      </w:r>
      <w:r>
        <w:t>.</w:t>
      </w:r>
      <w:r w:rsidR="004A75DC">
        <w:t>"</w:t>
      </w:r>
      <w:r w:rsidR="00942D0F" w:rsidRPr="003459BE">
        <w:rPr>
          <w:vertAlign w:val="superscript"/>
        </w:rPr>
        <w:endnoteReference w:id="3"/>
      </w:r>
      <w:r w:rsidR="00942D0F" w:rsidRPr="003459BE">
        <w:t xml:space="preserve"> </w:t>
      </w:r>
    </w:p>
    <w:p w14:paraId="05750D02" w14:textId="77777777" w:rsidR="00CC142A" w:rsidRDefault="00CC142A" w:rsidP="003459BE">
      <w:pPr>
        <w:jc w:val="both"/>
      </w:pPr>
    </w:p>
    <w:p w14:paraId="7680B3A8" w14:textId="29E15414" w:rsidR="00937899" w:rsidRPr="003459BE" w:rsidRDefault="00CC142A" w:rsidP="003459BE">
      <w:pPr>
        <w:jc w:val="both"/>
      </w:pPr>
      <w:r>
        <w:tab/>
        <w:t xml:space="preserve">These bioagents have been </w:t>
      </w:r>
      <w:r w:rsidR="00937899" w:rsidRPr="003459BE">
        <w:t xml:space="preserve">fraudulently </w:t>
      </w:r>
      <w:r w:rsidR="00B24885" w:rsidRPr="003459BE">
        <w:t>market</w:t>
      </w:r>
      <w:r w:rsidR="00937899" w:rsidRPr="003459BE">
        <w:t xml:space="preserve">ed by the </w:t>
      </w:r>
      <w:r w:rsidR="00B24885" w:rsidRPr="003459BE">
        <w:t>US G</w:t>
      </w:r>
      <w:r w:rsidR="00937899" w:rsidRPr="003459BE">
        <w:t>overnment</w:t>
      </w:r>
      <w:r w:rsidR="00B24885" w:rsidRPr="003459BE">
        <w:t xml:space="preserve"> and pharmaceutical/bioweapons manufacturers including Pfizer, Moderna, Johnson &amp; Johnson and their manufacturing subcontractors</w:t>
      </w:r>
      <w:r w:rsidR="00937899" w:rsidRPr="003459BE">
        <w:t xml:space="preserve"> as </w:t>
      </w:r>
      <w:r w:rsidR="00B24885" w:rsidRPr="003459BE">
        <w:t>"</w:t>
      </w:r>
      <w:r w:rsidR="004A75DC">
        <w:t xml:space="preserve">safe and effective </w:t>
      </w:r>
      <w:r w:rsidR="00937899" w:rsidRPr="003459BE">
        <w:t>vaccines</w:t>
      </w:r>
      <w:r>
        <w:t>,</w:t>
      </w:r>
      <w:r w:rsidR="00B24885" w:rsidRPr="003459BE">
        <w:t>"</w:t>
      </w:r>
      <w:r>
        <w:t xml:space="preserve"> following the transfer of the US Government's Chemical and Biological Warfare Program, housed in the Department of Defense</w:t>
      </w:r>
      <w:r w:rsidR="004A75DC">
        <w:t xml:space="preserve"> (DOD)</w:t>
      </w:r>
      <w:r>
        <w:t>, to the Public Health Emergency</w:t>
      </w:r>
      <w:r w:rsidR="002D5D11">
        <w:t>-</w:t>
      </w:r>
      <w:r>
        <w:t>Emergency Use Authorization</w:t>
      </w:r>
      <w:r w:rsidR="002D5D11">
        <w:t>-</w:t>
      </w:r>
      <w:r>
        <w:t xml:space="preserve">Medical Countermeasures </w:t>
      </w:r>
      <w:r w:rsidR="002D5D11">
        <w:t>p</w:t>
      </w:r>
      <w:r>
        <w:t>rogram, now housed in the Department of Health and Human Services</w:t>
      </w:r>
      <w:r w:rsidR="004A75DC">
        <w:t xml:space="preserve"> (HHS)</w:t>
      </w:r>
      <w:r>
        <w:t xml:space="preserve"> and jointly operated by DOD, HHS, Department of Homeland Security, Department of State, most other federal agencies and their </w:t>
      </w:r>
      <w:r w:rsidR="006C6F68">
        <w:t xml:space="preserve">subordinate </w:t>
      </w:r>
      <w:r>
        <w:t>departments, divisions, offices, authorities, enterprises, committees</w:t>
      </w:r>
      <w:r w:rsidR="006C6F68">
        <w:t>,</w:t>
      </w:r>
      <w:r>
        <w:t xml:space="preserve"> advisory boards</w:t>
      </w:r>
      <w:r w:rsidR="006C6F68">
        <w:t xml:space="preserve"> and employees</w:t>
      </w:r>
      <w:r>
        <w:t>.</w:t>
      </w:r>
    </w:p>
    <w:p w14:paraId="42791B22" w14:textId="77777777" w:rsidR="00B24885" w:rsidRPr="003459BE" w:rsidRDefault="00B24885" w:rsidP="003459BE"/>
    <w:p w14:paraId="3B12BECB" w14:textId="155631B5" w:rsidR="00B24885" w:rsidRDefault="00B24885" w:rsidP="00B121D5">
      <w:pPr>
        <w:jc w:val="both"/>
        <w:rPr>
          <w:rFonts w:ascii="Times" w:hAnsi="Times"/>
        </w:rPr>
      </w:pPr>
      <w:r w:rsidRPr="00BF265E">
        <w:rPr>
          <w:rFonts w:ascii="Times" w:hAnsi="Times"/>
        </w:rPr>
        <w:t>Six of the enabling statutes</w:t>
      </w:r>
      <w:r>
        <w:rPr>
          <w:rFonts w:ascii="Times" w:hAnsi="Times"/>
        </w:rPr>
        <w:t>, in chronological order of Congressional enactment</w:t>
      </w:r>
      <w:r w:rsidRPr="00BF265E">
        <w:rPr>
          <w:rFonts w:ascii="Times" w:hAnsi="Times"/>
        </w:rPr>
        <w:t>:</w:t>
      </w:r>
    </w:p>
    <w:p w14:paraId="592E4A9C" w14:textId="77777777" w:rsidR="00B24885" w:rsidRPr="00BF265E" w:rsidRDefault="00B24885" w:rsidP="00B121D5">
      <w:pPr>
        <w:spacing w:line="259" w:lineRule="auto"/>
        <w:jc w:val="both"/>
        <w:rPr>
          <w:rFonts w:ascii="Times" w:hAnsi="Times"/>
        </w:rPr>
      </w:pPr>
      <w:r w:rsidRPr="00BF265E">
        <w:rPr>
          <w:rFonts w:ascii="Times" w:hAnsi="Times"/>
        </w:rPr>
        <w:t xml:space="preserve">  </w:t>
      </w:r>
    </w:p>
    <w:p w14:paraId="5FF12CD8" w14:textId="77777777" w:rsidR="00B24885" w:rsidRPr="009E2A0F" w:rsidRDefault="00BC7C2B" w:rsidP="00052B81">
      <w:pPr>
        <w:numPr>
          <w:ilvl w:val="0"/>
          <w:numId w:val="12"/>
        </w:numPr>
        <w:spacing w:after="240"/>
        <w:jc w:val="both"/>
        <w:rPr>
          <w:rFonts w:ascii="Times" w:hAnsi="Times"/>
        </w:rPr>
      </w:pPr>
      <w:r>
        <w:rPr>
          <w:rFonts w:ascii="Times" w:hAnsi="Times"/>
        </w:rPr>
        <w:t xml:space="preserve">1969 - </w:t>
      </w:r>
      <w:r w:rsidR="00B24885" w:rsidRPr="00BF265E">
        <w:rPr>
          <w:rFonts w:ascii="Times" w:hAnsi="Times"/>
        </w:rPr>
        <w:t>Title 50</w:t>
      </w:r>
      <w:r w:rsidR="00052B81">
        <w:rPr>
          <w:rFonts w:ascii="Times" w:hAnsi="Times"/>
        </w:rPr>
        <w:t>,</w:t>
      </w:r>
      <w:r w:rsidR="00B24885">
        <w:rPr>
          <w:rFonts w:ascii="Times" w:hAnsi="Times"/>
        </w:rPr>
        <w:t xml:space="preserve"> War and National Defense, </w:t>
      </w:r>
      <w:r w:rsidR="00B24885" w:rsidRPr="00BF265E">
        <w:rPr>
          <w:rFonts w:ascii="Times" w:hAnsi="Times"/>
        </w:rPr>
        <w:t>Chapter 32, §1511 et seq</w:t>
      </w:r>
      <w:r w:rsidR="00052B81">
        <w:rPr>
          <w:rFonts w:ascii="Times" w:hAnsi="Times"/>
        </w:rPr>
        <w:t>.</w:t>
      </w:r>
      <w:r w:rsidR="00B24885" w:rsidRPr="00BF265E">
        <w:rPr>
          <w:rFonts w:ascii="Times" w:hAnsi="Times"/>
        </w:rPr>
        <w:t xml:space="preserve"> </w:t>
      </w:r>
      <w:r w:rsidR="00B24885" w:rsidRPr="00BF265E">
        <w:rPr>
          <w:rFonts w:ascii="Times" w:hAnsi="Times"/>
          <w:b/>
          <w:bCs/>
        </w:rPr>
        <w:t>Chemical and Biological Warfare</w:t>
      </w:r>
      <w:r w:rsidR="00B24885" w:rsidRPr="00BF265E">
        <w:rPr>
          <w:rFonts w:ascii="Times" w:hAnsi="Times"/>
        </w:rPr>
        <w:t xml:space="preserve">, </w:t>
      </w:r>
      <w:r w:rsidR="00EF0316">
        <w:rPr>
          <w:rFonts w:ascii="Times" w:hAnsi="Times"/>
        </w:rPr>
        <w:t>enact</w:t>
      </w:r>
      <w:r w:rsidR="00B24885" w:rsidRPr="00BF265E">
        <w:rPr>
          <w:rFonts w:ascii="Times" w:hAnsi="Times"/>
        </w:rPr>
        <w:t xml:space="preserve">ed </w:t>
      </w:r>
      <w:r w:rsidR="00EF0316">
        <w:rPr>
          <w:rFonts w:ascii="Times" w:hAnsi="Times"/>
        </w:rPr>
        <w:t>Nov. 19,</w:t>
      </w:r>
      <w:r w:rsidR="00B24885" w:rsidRPr="00BF265E">
        <w:rPr>
          <w:rFonts w:ascii="Times" w:hAnsi="Times"/>
        </w:rPr>
        <w:t xml:space="preserve"> 1969</w:t>
      </w:r>
      <w:r w:rsidR="00EF0316">
        <w:rPr>
          <w:rFonts w:ascii="Times" w:hAnsi="Times"/>
        </w:rPr>
        <w:t xml:space="preserve"> (PL 91-121)</w:t>
      </w:r>
      <w:r w:rsidR="00B24885" w:rsidRPr="00BF265E">
        <w:rPr>
          <w:rFonts w:ascii="Times" w:hAnsi="Times"/>
        </w:rPr>
        <w:t>.</w:t>
      </w:r>
    </w:p>
    <w:p w14:paraId="42524312" w14:textId="77777777" w:rsidR="00B24885" w:rsidRDefault="00BC7C2B" w:rsidP="00052B81">
      <w:pPr>
        <w:numPr>
          <w:ilvl w:val="0"/>
          <w:numId w:val="12"/>
        </w:numPr>
        <w:spacing w:after="240"/>
        <w:jc w:val="both"/>
        <w:rPr>
          <w:rFonts w:ascii="Times" w:hAnsi="Times"/>
        </w:rPr>
      </w:pPr>
      <w:r>
        <w:rPr>
          <w:rFonts w:ascii="Times" w:hAnsi="Times"/>
        </w:rPr>
        <w:t xml:space="preserve">1983 - </w:t>
      </w:r>
      <w:r w:rsidR="00B24885" w:rsidRPr="00BF265E">
        <w:rPr>
          <w:rFonts w:ascii="Times" w:hAnsi="Times"/>
        </w:rPr>
        <w:t>Title 42</w:t>
      </w:r>
      <w:r w:rsidR="00052B81">
        <w:rPr>
          <w:rFonts w:ascii="Times" w:hAnsi="Times"/>
        </w:rPr>
        <w:t>,</w:t>
      </w:r>
      <w:r w:rsidR="00B24885" w:rsidRPr="00BF265E">
        <w:rPr>
          <w:rFonts w:ascii="Times" w:hAnsi="Times"/>
        </w:rPr>
        <w:t xml:space="preserve"> Public Health Service</w:t>
      </w:r>
      <w:r w:rsidR="00B24885">
        <w:rPr>
          <w:rFonts w:ascii="Times" w:hAnsi="Times"/>
        </w:rPr>
        <w:t>,</w:t>
      </w:r>
      <w:r w:rsidR="00B24885" w:rsidRPr="00BF265E">
        <w:rPr>
          <w:rFonts w:ascii="Times" w:hAnsi="Times"/>
        </w:rPr>
        <w:t xml:space="preserve"> §247d et seq</w:t>
      </w:r>
      <w:r w:rsidR="00052B81">
        <w:rPr>
          <w:rFonts w:ascii="Times" w:hAnsi="Times"/>
        </w:rPr>
        <w:t>.</w:t>
      </w:r>
      <w:r w:rsidR="00B24885" w:rsidRPr="00BF265E">
        <w:rPr>
          <w:rFonts w:ascii="Times" w:hAnsi="Times"/>
        </w:rPr>
        <w:t xml:space="preserve"> </w:t>
      </w:r>
      <w:proofErr w:type="gramStart"/>
      <w:r w:rsidR="00B24885" w:rsidRPr="00BF265E">
        <w:rPr>
          <w:rFonts w:ascii="Times" w:hAnsi="Times"/>
          <w:b/>
          <w:bCs/>
        </w:rPr>
        <w:t>Public</w:t>
      </w:r>
      <w:proofErr w:type="gramEnd"/>
      <w:r w:rsidR="00B24885" w:rsidRPr="00BF265E">
        <w:rPr>
          <w:rFonts w:ascii="Times" w:hAnsi="Times"/>
          <w:b/>
          <w:bCs/>
        </w:rPr>
        <w:t xml:space="preserve"> health emergencies</w:t>
      </w:r>
      <w:r w:rsidR="00B24885" w:rsidRPr="00BF265E">
        <w:rPr>
          <w:rFonts w:ascii="Times" w:hAnsi="Times"/>
        </w:rPr>
        <w:t xml:space="preserve">, established </w:t>
      </w:r>
      <w:r w:rsidR="00EF0316">
        <w:rPr>
          <w:rFonts w:ascii="Times" w:hAnsi="Times"/>
        </w:rPr>
        <w:t>July 13, 1983 (PL 98-49).</w:t>
      </w:r>
    </w:p>
    <w:p w14:paraId="68E3D2E4" w14:textId="77777777" w:rsidR="00B24885" w:rsidRPr="009E2A0F" w:rsidRDefault="00BC7C2B" w:rsidP="00052B81">
      <w:pPr>
        <w:numPr>
          <w:ilvl w:val="0"/>
          <w:numId w:val="12"/>
        </w:numPr>
        <w:spacing w:after="240"/>
        <w:jc w:val="both"/>
        <w:rPr>
          <w:rFonts w:ascii="Times" w:hAnsi="Times"/>
        </w:rPr>
      </w:pPr>
      <w:r>
        <w:rPr>
          <w:rFonts w:ascii="Times" w:hAnsi="Times"/>
        </w:rPr>
        <w:t xml:space="preserve">1986 - </w:t>
      </w:r>
      <w:r w:rsidR="00B24885" w:rsidRPr="00BF265E">
        <w:rPr>
          <w:rFonts w:ascii="Times" w:hAnsi="Times"/>
        </w:rPr>
        <w:t>Title 42 - Public Health Service, §300aa-1 et seq</w:t>
      </w:r>
      <w:r w:rsidR="00052B81">
        <w:rPr>
          <w:rFonts w:ascii="Times" w:hAnsi="Times"/>
        </w:rPr>
        <w:t>.</w:t>
      </w:r>
      <w:r w:rsidR="00B24885" w:rsidRPr="00BF265E">
        <w:rPr>
          <w:rFonts w:ascii="Times" w:hAnsi="Times"/>
        </w:rPr>
        <w:t xml:space="preserve"> </w:t>
      </w:r>
      <w:r w:rsidR="000C6137" w:rsidRPr="000C6137">
        <w:rPr>
          <w:rFonts w:ascii="Times" w:hAnsi="Times"/>
          <w:b/>
          <w:bCs/>
        </w:rPr>
        <w:t xml:space="preserve">National </w:t>
      </w:r>
      <w:r w:rsidR="00B24885" w:rsidRPr="00BF265E">
        <w:rPr>
          <w:rFonts w:ascii="Times" w:hAnsi="Times"/>
          <w:b/>
          <w:bCs/>
        </w:rPr>
        <w:t>Vaccine</w:t>
      </w:r>
      <w:r w:rsidR="000C6137">
        <w:rPr>
          <w:rFonts w:ascii="Times" w:hAnsi="Times"/>
          <w:b/>
          <w:bCs/>
        </w:rPr>
        <w:t xml:space="preserve"> Program</w:t>
      </w:r>
      <w:r w:rsidR="000C6137">
        <w:rPr>
          <w:rFonts w:ascii="Times" w:hAnsi="Times"/>
        </w:rPr>
        <w:t xml:space="preserve"> and </w:t>
      </w:r>
      <w:r w:rsidR="000C6137" w:rsidRPr="000C6137">
        <w:rPr>
          <w:rFonts w:ascii="Times" w:hAnsi="Times"/>
          <w:b/>
          <w:bCs/>
        </w:rPr>
        <w:t>Vaccine Injury Compensation Program</w:t>
      </w:r>
      <w:r w:rsidR="000C6137">
        <w:rPr>
          <w:rFonts w:ascii="Times" w:hAnsi="Times"/>
        </w:rPr>
        <w:t>,</w:t>
      </w:r>
      <w:r w:rsidR="00B24885" w:rsidRPr="00BF265E">
        <w:rPr>
          <w:rFonts w:ascii="Times" w:hAnsi="Times"/>
        </w:rPr>
        <w:t xml:space="preserve"> established </w:t>
      </w:r>
      <w:r w:rsidR="00EF0316">
        <w:rPr>
          <w:rFonts w:ascii="Times" w:hAnsi="Times"/>
        </w:rPr>
        <w:t>Nov. 14, 1986 (PL 99-660).</w:t>
      </w:r>
    </w:p>
    <w:p w14:paraId="071E6E5E" w14:textId="77777777" w:rsidR="00B24885" w:rsidRPr="00BF265E" w:rsidRDefault="00BC7C2B" w:rsidP="00052B81">
      <w:pPr>
        <w:numPr>
          <w:ilvl w:val="0"/>
          <w:numId w:val="12"/>
        </w:numPr>
        <w:spacing w:after="240" w:line="259" w:lineRule="auto"/>
        <w:jc w:val="both"/>
        <w:rPr>
          <w:rFonts w:ascii="Times" w:hAnsi="Times"/>
        </w:rPr>
      </w:pPr>
      <w:r>
        <w:rPr>
          <w:rFonts w:ascii="Times" w:hAnsi="Times"/>
        </w:rPr>
        <w:t xml:space="preserve">1997 - </w:t>
      </w:r>
      <w:r w:rsidR="00B24885" w:rsidRPr="00BF265E">
        <w:rPr>
          <w:rFonts w:ascii="Times" w:hAnsi="Times"/>
        </w:rPr>
        <w:t xml:space="preserve">Title 21 </w:t>
      </w:r>
      <w:r w:rsidR="00052B81">
        <w:rPr>
          <w:rFonts w:ascii="Times" w:hAnsi="Times"/>
        </w:rPr>
        <w:t xml:space="preserve">- </w:t>
      </w:r>
      <w:r w:rsidR="00B24885" w:rsidRPr="00BF265E">
        <w:rPr>
          <w:rFonts w:ascii="Times" w:hAnsi="Times"/>
        </w:rPr>
        <w:t>Federal Food and Drugs Act</w:t>
      </w:r>
      <w:r w:rsidR="00052B81">
        <w:rPr>
          <w:rFonts w:ascii="Times" w:hAnsi="Times"/>
        </w:rPr>
        <w:t>,</w:t>
      </w:r>
      <w:r w:rsidR="00B24885" w:rsidRPr="00BF265E">
        <w:rPr>
          <w:rFonts w:ascii="Times" w:hAnsi="Times"/>
        </w:rPr>
        <w:t xml:space="preserve"> §360bbb et seq, </w:t>
      </w:r>
      <w:proofErr w:type="gramStart"/>
      <w:r w:rsidR="00B24885" w:rsidRPr="00BF265E">
        <w:rPr>
          <w:rFonts w:ascii="Times" w:hAnsi="Times"/>
          <w:b/>
          <w:bCs/>
        </w:rPr>
        <w:t>Expanded</w:t>
      </w:r>
      <w:proofErr w:type="gramEnd"/>
      <w:r w:rsidR="00B24885" w:rsidRPr="00BF265E">
        <w:rPr>
          <w:rFonts w:ascii="Times" w:hAnsi="Times"/>
          <w:b/>
          <w:bCs/>
        </w:rPr>
        <w:t xml:space="preserve"> access to unapproved therapies and diagnostics</w:t>
      </w:r>
      <w:r w:rsidR="00B24885" w:rsidRPr="00BF265E">
        <w:rPr>
          <w:rFonts w:ascii="Times" w:hAnsi="Times"/>
        </w:rPr>
        <w:t xml:space="preserve">, </w:t>
      </w:r>
      <w:r w:rsidR="00B24885">
        <w:rPr>
          <w:rFonts w:ascii="Times" w:hAnsi="Times"/>
        </w:rPr>
        <w:t>adopted</w:t>
      </w:r>
      <w:r w:rsidR="00B24885" w:rsidRPr="00BF265E">
        <w:rPr>
          <w:rFonts w:ascii="Times" w:hAnsi="Times"/>
        </w:rPr>
        <w:t xml:space="preserve"> </w:t>
      </w:r>
      <w:r w:rsidR="00EF0316">
        <w:rPr>
          <w:rFonts w:ascii="Times" w:hAnsi="Times"/>
        </w:rPr>
        <w:t>Nov. 21, 1997 (PL 105-115)</w:t>
      </w:r>
      <w:r w:rsidR="00B24885">
        <w:rPr>
          <w:rFonts w:ascii="Times" w:hAnsi="Times"/>
        </w:rPr>
        <w:t>.</w:t>
      </w:r>
    </w:p>
    <w:p w14:paraId="357CB117" w14:textId="77777777" w:rsidR="00B24885" w:rsidRDefault="00BC7C2B" w:rsidP="00052B81">
      <w:pPr>
        <w:numPr>
          <w:ilvl w:val="0"/>
          <w:numId w:val="12"/>
        </w:numPr>
        <w:spacing w:after="240"/>
        <w:jc w:val="both"/>
        <w:rPr>
          <w:rFonts w:ascii="Times" w:hAnsi="Times"/>
        </w:rPr>
      </w:pPr>
      <w:r>
        <w:rPr>
          <w:rFonts w:ascii="Times" w:hAnsi="Times"/>
        </w:rPr>
        <w:t xml:space="preserve">2002 - </w:t>
      </w:r>
      <w:r w:rsidR="00B24885" w:rsidRPr="00BF265E">
        <w:rPr>
          <w:rFonts w:ascii="Times" w:hAnsi="Times"/>
        </w:rPr>
        <w:t>Title 42 - Public Health Service</w:t>
      </w:r>
      <w:r w:rsidR="00EF0316">
        <w:rPr>
          <w:rFonts w:ascii="Times" w:hAnsi="Times"/>
        </w:rPr>
        <w:t>,</w:t>
      </w:r>
      <w:r w:rsidR="00B24885" w:rsidRPr="00BF265E">
        <w:rPr>
          <w:rFonts w:ascii="Times" w:hAnsi="Times"/>
        </w:rPr>
        <w:t xml:space="preserve"> §300hh et seq, </w:t>
      </w:r>
      <w:r w:rsidR="00B24885" w:rsidRPr="00BF265E">
        <w:rPr>
          <w:rFonts w:ascii="Times" w:hAnsi="Times"/>
          <w:b/>
          <w:bCs/>
        </w:rPr>
        <w:t>National All-Hazards Preparedness for Public Health Emergencies</w:t>
      </w:r>
      <w:r w:rsidR="00B24885" w:rsidRPr="00BF265E">
        <w:rPr>
          <w:rFonts w:ascii="Times" w:hAnsi="Times"/>
        </w:rPr>
        <w:t xml:space="preserve">, </w:t>
      </w:r>
      <w:r w:rsidR="000C6137">
        <w:rPr>
          <w:rFonts w:ascii="Times" w:hAnsi="Times"/>
        </w:rPr>
        <w:t>adopted</w:t>
      </w:r>
      <w:r w:rsidR="00B24885" w:rsidRPr="00BF265E">
        <w:rPr>
          <w:rFonts w:ascii="Times" w:hAnsi="Times"/>
        </w:rPr>
        <w:t xml:space="preserve"> </w:t>
      </w:r>
      <w:r w:rsidR="00EF0316">
        <w:rPr>
          <w:rFonts w:ascii="Times" w:hAnsi="Times"/>
        </w:rPr>
        <w:t xml:space="preserve">June 12, </w:t>
      </w:r>
      <w:r w:rsidR="00B24885" w:rsidRPr="00BF265E">
        <w:rPr>
          <w:rFonts w:ascii="Times" w:hAnsi="Times"/>
        </w:rPr>
        <w:t>2002</w:t>
      </w:r>
      <w:r w:rsidR="00EF0316">
        <w:rPr>
          <w:rFonts w:ascii="Times" w:hAnsi="Times"/>
        </w:rPr>
        <w:t xml:space="preserve"> (PL 107-188).</w:t>
      </w:r>
    </w:p>
    <w:p w14:paraId="0BA287E4" w14:textId="77777777" w:rsidR="000C6137" w:rsidRPr="00942D0F" w:rsidRDefault="00BC7C2B" w:rsidP="00052B81">
      <w:pPr>
        <w:numPr>
          <w:ilvl w:val="0"/>
          <w:numId w:val="12"/>
        </w:numPr>
        <w:spacing w:after="240"/>
        <w:jc w:val="both"/>
        <w:rPr>
          <w:rFonts w:ascii="Times" w:hAnsi="Times"/>
        </w:rPr>
      </w:pPr>
      <w:r>
        <w:rPr>
          <w:rFonts w:ascii="Times" w:hAnsi="Times"/>
        </w:rPr>
        <w:t xml:space="preserve">2015 - </w:t>
      </w:r>
      <w:r w:rsidR="007B6F88" w:rsidRPr="00BF265E">
        <w:rPr>
          <w:rFonts w:ascii="Times" w:hAnsi="Times"/>
        </w:rPr>
        <w:t>Title 10 - Armed Forces, §4021 et seq</w:t>
      </w:r>
      <w:r w:rsidR="00052B81">
        <w:rPr>
          <w:rFonts w:ascii="Times" w:hAnsi="Times"/>
        </w:rPr>
        <w:t>.</w:t>
      </w:r>
      <w:r w:rsidR="007B6F88" w:rsidRPr="00BF265E">
        <w:rPr>
          <w:rFonts w:ascii="Times" w:hAnsi="Times"/>
        </w:rPr>
        <w:t xml:space="preserve">, </w:t>
      </w:r>
      <w:r w:rsidR="007B6F88" w:rsidRPr="00BF265E">
        <w:rPr>
          <w:rFonts w:ascii="Times" w:hAnsi="Times"/>
          <w:b/>
          <w:bCs/>
        </w:rPr>
        <w:t>Research projects: transactions other than contracts and grants</w:t>
      </w:r>
      <w:r w:rsidR="00C842FB">
        <w:rPr>
          <w:rFonts w:ascii="Times" w:hAnsi="Times"/>
        </w:rPr>
        <w:t>. Originally</w:t>
      </w:r>
      <w:r w:rsidR="007B6F88" w:rsidRPr="00BF265E">
        <w:rPr>
          <w:rFonts w:ascii="Times" w:hAnsi="Times"/>
        </w:rPr>
        <w:t xml:space="preserve"> </w:t>
      </w:r>
      <w:r w:rsidR="007B6F88">
        <w:rPr>
          <w:rFonts w:ascii="Times" w:hAnsi="Times"/>
        </w:rPr>
        <w:t xml:space="preserve">adopted July 29, 1958 (PL 85-568) for NASA, </w:t>
      </w:r>
      <w:r w:rsidR="000C6137">
        <w:rPr>
          <w:rFonts w:ascii="Times" w:hAnsi="Times"/>
        </w:rPr>
        <w:t xml:space="preserve">expanded for </w:t>
      </w:r>
      <w:r w:rsidR="007B6F88" w:rsidRPr="00BF265E">
        <w:rPr>
          <w:rFonts w:ascii="Times" w:hAnsi="Times"/>
        </w:rPr>
        <w:t xml:space="preserve">DOD use for "prototype" contracting </w:t>
      </w:r>
      <w:r w:rsidR="007B6F88">
        <w:rPr>
          <w:rFonts w:ascii="Times" w:hAnsi="Times"/>
        </w:rPr>
        <w:t xml:space="preserve">on Nov. 25, </w:t>
      </w:r>
      <w:r w:rsidR="007B6F88" w:rsidRPr="00BF265E">
        <w:rPr>
          <w:rFonts w:ascii="Times" w:hAnsi="Times"/>
        </w:rPr>
        <w:t>2015</w:t>
      </w:r>
      <w:r w:rsidR="007B6F88">
        <w:rPr>
          <w:rFonts w:ascii="Times" w:hAnsi="Times"/>
        </w:rPr>
        <w:t xml:space="preserve"> (PL 114-92).</w:t>
      </w:r>
    </w:p>
    <w:p w14:paraId="7543E2B5" w14:textId="77777777" w:rsidR="00B121D5" w:rsidRDefault="00B121D5" w:rsidP="00B121D5">
      <w:pPr>
        <w:jc w:val="both"/>
        <w:rPr>
          <w:rFonts w:ascii="Times" w:hAnsi="Times"/>
          <w:color w:val="000000" w:themeColor="text1"/>
        </w:rPr>
      </w:pPr>
    </w:p>
    <w:p w14:paraId="485D3263" w14:textId="05C74325" w:rsidR="00937899" w:rsidRDefault="00937899" w:rsidP="00B121D5">
      <w:pPr>
        <w:jc w:val="both"/>
        <w:rPr>
          <w:rFonts w:ascii="Times" w:hAnsi="Times" w:cs="Arial"/>
          <w:color w:val="000000"/>
          <w:bdr w:val="none" w:sz="0" w:space="0" w:color="auto" w:frame="1"/>
        </w:rPr>
      </w:pPr>
    </w:p>
    <w:p w14:paraId="4867A62D" w14:textId="77777777" w:rsidR="00EB1108" w:rsidRDefault="00EB1108" w:rsidP="00B121D5">
      <w:pPr>
        <w:jc w:val="both"/>
        <w:rPr>
          <w:rFonts w:ascii="Times" w:hAnsi="Times" w:cs="Arial"/>
          <w:color w:val="000000"/>
          <w:bdr w:val="none" w:sz="0" w:space="0" w:color="auto" w:frame="1"/>
        </w:rPr>
      </w:pPr>
    </w:p>
    <w:p w14:paraId="3A62EAE3" w14:textId="77777777" w:rsidR="00405E05" w:rsidRDefault="00405E05" w:rsidP="00B121D5">
      <w:pPr>
        <w:jc w:val="center"/>
        <w:rPr>
          <w:rFonts w:ascii="Times" w:hAnsi="Times" w:cs="Arial"/>
          <w:b/>
          <w:bCs/>
          <w:color w:val="000000"/>
          <w:u w:val="single"/>
          <w:bdr w:val="none" w:sz="0" w:space="0" w:color="auto" w:frame="1"/>
        </w:rPr>
      </w:pPr>
    </w:p>
    <w:p w14:paraId="7FD9E805" w14:textId="77777777" w:rsidR="002D5D11" w:rsidRDefault="002D5D11" w:rsidP="00B121D5">
      <w:pPr>
        <w:jc w:val="center"/>
        <w:rPr>
          <w:rFonts w:ascii="Times" w:hAnsi="Times" w:cs="Arial"/>
          <w:b/>
          <w:bCs/>
          <w:color w:val="000000"/>
          <w:u w:val="single"/>
          <w:bdr w:val="none" w:sz="0" w:space="0" w:color="auto" w:frame="1"/>
        </w:rPr>
      </w:pPr>
    </w:p>
    <w:p w14:paraId="65A6F4AF" w14:textId="77777777" w:rsidR="007B6F88" w:rsidRPr="007B6F88" w:rsidRDefault="002D5D11" w:rsidP="00B121D5">
      <w:pPr>
        <w:jc w:val="center"/>
        <w:rPr>
          <w:rFonts w:ascii="Times" w:hAnsi="Times" w:cs="Arial"/>
          <w:b/>
          <w:bCs/>
          <w:color w:val="000000"/>
          <w:u w:val="single"/>
          <w:bdr w:val="none" w:sz="0" w:space="0" w:color="auto" w:frame="1"/>
        </w:rPr>
      </w:pPr>
      <w:r>
        <w:rPr>
          <w:rFonts w:ascii="Times" w:hAnsi="Times" w:cs="Arial"/>
          <w:b/>
          <w:bCs/>
          <w:color w:val="000000"/>
          <w:u w:val="single"/>
          <w:bdr w:val="none" w:sz="0" w:space="0" w:color="auto" w:frame="1"/>
        </w:rPr>
        <w:lastRenderedPageBreak/>
        <w:t xml:space="preserve">EXECUTIVE </w:t>
      </w:r>
      <w:r w:rsidR="00937899" w:rsidRPr="005242DA">
        <w:rPr>
          <w:rFonts w:ascii="Times" w:hAnsi="Times" w:cs="Arial"/>
          <w:b/>
          <w:bCs/>
          <w:color w:val="000000"/>
          <w:u w:val="single"/>
          <w:bdr w:val="none" w:sz="0" w:space="0" w:color="auto" w:frame="1"/>
        </w:rPr>
        <w:t>SUMMARY</w:t>
      </w:r>
    </w:p>
    <w:p w14:paraId="5105DAEE" w14:textId="77777777" w:rsidR="00052B81" w:rsidRPr="00052B81" w:rsidRDefault="004A75DC" w:rsidP="00B121D5">
      <w:pPr>
        <w:pStyle w:val="NormalWeb"/>
        <w:jc w:val="both"/>
        <w:rPr>
          <w:rFonts w:ascii="Times" w:hAnsi="Times"/>
          <w:i/>
          <w:iCs/>
        </w:rPr>
      </w:pPr>
      <w:r>
        <w:rPr>
          <w:rFonts w:ascii="Times" w:hAnsi="Times"/>
          <w:i/>
          <w:iCs/>
        </w:rPr>
        <w:t xml:space="preserve">1969 - </w:t>
      </w:r>
      <w:r w:rsidR="00052B81" w:rsidRPr="00052B81">
        <w:rPr>
          <w:rFonts w:ascii="Times" w:hAnsi="Times"/>
          <w:i/>
          <w:iCs/>
        </w:rPr>
        <w:t>Chemical and Biological Warfare Program</w:t>
      </w:r>
      <w:r w:rsidR="00866361">
        <w:rPr>
          <w:rFonts w:ascii="Times" w:hAnsi="Times"/>
          <w:i/>
          <w:iCs/>
        </w:rPr>
        <w:t xml:space="preserve"> </w:t>
      </w:r>
    </w:p>
    <w:p w14:paraId="68ACB1E1" w14:textId="77777777" w:rsidR="00296375" w:rsidRDefault="00C2436F" w:rsidP="00B121D5">
      <w:pPr>
        <w:pStyle w:val="NormalWeb"/>
        <w:jc w:val="both"/>
        <w:rPr>
          <w:rFonts w:ascii="Times" w:hAnsi="Times"/>
        </w:rPr>
      </w:pPr>
      <w:r>
        <w:rPr>
          <w:rFonts w:ascii="Times" w:hAnsi="Times"/>
        </w:rPr>
        <w:t>The 1969 Armed Forces Appropriations Act, codified at 50 USC 1511</w:t>
      </w:r>
      <w:r w:rsidR="00BC7C2B">
        <w:rPr>
          <w:rFonts w:ascii="Times" w:hAnsi="Times"/>
        </w:rPr>
        <w:t xml:space="preserve"> et seq</w:t>
      </w:r>
      <w:r w:rsidR="00296375">
        <w:rPr>
          <w:rFonts w:ascii="Times" w:hAnsi="Times"/>
        </w:rPr>
        <w:t>.</w:t>
      </w:r>
      <w:r>
        <w:rPr>
          <w:rFonts w:ascii="Times" w:hAnsi="Times"/>
        </w:rPr>
        <w:t xml:space="preserve"> </w:t>
      </w:r>
      <w:r w:rsidR="00BC7C2B">
        <w:rPr>
          <w:rFonts w:ascii="Times" w:hAnsi="Times"/>
        </w:rPr>
        <w:t xml:space="preserve">appears to have </w:t>
      </w:r>
      <w:r>
        <w:rPr>
          <w:rFonts w:ascii="Times" w:hAnsi="Times"/>
        </w:rPr>
        <w:t xml:space="preserve">authorized the </w:t>
      </w:r>
      <w:r w:rsidR="004A75DC">
        <w:rPr>
          <w:rFonts w:ascii="Times" w:hAnsi="Times"/>
        </w:rPr>
        <w:t>DOD</w:t>
      </w:r>
      <w:r>
        <w:rPr>
          <w:rFonts w:ascii="Times" w:hAnsi="Times"/>
        </w:rPr>
        <w:t xml:space="preserve"> </w:t>
      </w:r>
      <w:r w:rsidR="00296375" w:rsidRPr="00296375">
        <w:rPr>
          <w:rFonts w:ascii="Times" w:hAnsi="Times"/>
          <w:b/>
          <w:bCs/>
        </w:rPr>
        <w:t>Chemical and Biological Warfare Program</w:t>
      </w:r>
      <w:r w:rsidR="00296375">
        <w:rPr>
          <w:rFonts w:ascii="Times" w:hAnsi="Times"/>
        </w:rPr>
        <w:t xml:space="preserve">, including </w:t>
      </w:r>
      <w:r>
        <w:rPr>
          <w:rFonts w:ascii="Times" w:hAnsi="Times"/>
        </w:rPr>
        <w:t xml:space="preserve">use </w:t>
      </w:r>
      <w:r w:rsidR="00296375">
        <w:rPr>
          <w:rFonts w:ascii="Times" w:hAnsi="Times"/>
        </w:rPr>
        <w:t xml:space="preserve">of </w:t>
      </w:r>
      <w:r>
        <w:rPr>
          <w:rFonts w:ascii="Times" w:hAnsi="Times"/>
        </w:rPr>
        <w:t>human subjects for chemical</w:t>
      </w:r>
      <w:r w:rsidR="00052B81">
        <w:rPr>
          <w:rFonts w:ascii="Times" w:hAnsi="Times"/>
        </w:rPr>
        <w:t>,</w:t>
      </w:r>
      <w:r>
        <w:rPr>
          <w:rFonts w:ascii="Times" w:hAnsi="Times"/>
        </w:rPr>
        <w:t xml:space="preserve"> biological</w:t>
      </w:r>
      <w:r w:rsidR="00052B81">
        <w:rPr>
          <w:rFonts w:ascii="Times" w:hAnsi="Times"/>
        </w:rPr>
        <w:t>, radiological and nuclear (CBRN)</w:t>
      </w:r>
      <w:r>
        <w:rPr>
          <w:rFonts w:ascii="Times" w:hAnsi="Times"/>
        </w:rPr>
        <w:t xml:space="preserve"> weapons research and development</w:t>
      </w:r>
      <w:r w:rsidR="00052B81">
        <w:rPr>
          <w:rFonts w:ascii="Times" w:hAnsi="Times"/>
        </w:rPr>
        <w:t>;</w:t>
      </w:r>
      <w:r w:rsidR="00B121D5">
        <w:rPr>
          <w:rFonts w:ascii="Times" w:hAnsi="Times"/>
        </w:rPr>
        <w:t xml:space="preserve"> </w:t>
      </w:r>
      <w:r>
        <w:rPr>
          <w:rFonts w:ascii="Times" w:hAnsi="Times"/>
        </w:rPr>
        <w:t>President</w:t>
      </w:r>
      <w:r w:rsidR="00296375">
        <w:rPr>
          <w:rFonts w:ascii="Times" w:hAnsi="Times"/>
        </w:rPr>
        <w:t>ial</w:t>
      </w:r>
      <w:r>
        <w:rPr>
          <w:rFonts w:ascii="Times" w:hAnsi="Times"/>
        </w:rPr>
        <w:t xml:space="preserve"> </w:t>
      </w:r>
      <w:r w:rsidR="00296375">
        <w:rPr>
          <w:rFonts w:ascii="Times" w:hAnsi="Times"/>
        </w:rPr>
        <w:t>s</w:t>
      </w:r>
      <w:r>
        <w:rPr>
          <w:rFonts w:ascii="Times" w:hAnsi="Times"/>
        </w:rPr>
        <w:t>uspen</w:t>
      </w:r>
      <w:r w:rsidR="00296375">
        <w:rPr>
          <w:rFonts w:ascii="Times" w:hAnsi="Times"/>
        </w:rPr>
        <w:t>sion of</w:t>
      </w:r>
      <w:r>
        <w:rPr>
          <w:rFonts w:ascii="Times" w:hAnsi="Times"/>
        </w:rPr>
        <w:t xml:space="preserve"> </w:t>
      </w:r>
      <w:r w:rsidR="00052B81">
        <w:rPr>
          <w:rFonts w:ascii="Times" w:hAnsi="Times"/>
        </w:rPr>
        <w:t xml:space="preserve">otherwise applicable statutes and regulations under "national emergency" conditions as unilaterally declared by the executive branch, including apparent nullification </w:t>
      </w:r>
      <w:r w:rsidR="00D44DF9">
        <w:rPr>
          <w:rFonts w:ascii="Times" w:hAnsi="Times"/>
        </w:rPr>
        <w:t xml:space="preserve">of </w:t>
      </w:r>
      <w:r>
        <w:rPr>
          <w:rFonts w:ascii="Times" w:hAnsi="Times"/>
        </w:rPr>
        <w:t>informed consent rights</w:t>
      </w:r>
      <w:r w:rsidR="00B121D5">
        <w:rPr>
          <w:rFonts w:ascii="Times" w:hAnsi="Times"/>
        </w:rPr>
        <w:t xml:space="preserve"> </w:t>
      </w:r>
      <w:r w:rsidR="004A75DC">
        <w:rPr>
          <w:rFonts w:ascii="Times" w:hAnsi="Times"/>
        </w:rPr>
        <w:t xml:space="preserve">otherwise </w:t>
      </w:r>
      <w:r w:rsidR="00D44DF9">
        <w:rPr>
          <w:rFonts w:ascii="Times" w:hAnsi="Times"/>
        </w:rPr>
        <w:t>held by</w:t>
      </w:r>
      <w:r w:rsidR="00B121D5">
        <w:rPr>
          <w:rFonts w:ascii="Times" w:hAnsi="Times"/>
        </w:rPr>
        <w:t xml:space="preserve"> human </w:t>
      </w:r>
      <w:r w:rsidR="004A75DC">
        <w:rPr>
          <w:rFonts w:ascii="Times" w:hAnsi="Times"/>
        </w:rPr>
        <w:t>recipients of biologically-active and potentially toxic products</w:t>
      </w:r>
      <w:r w:rsidR="00052B81">
        <w:rPr>
          <w:rFonts w:ascii="Times" w:hAnsi="Times"/>
        </w:rPr>
        <w:t>;</w:t>
      </w:r>
      <w:r>
        <w:rPr>
          <w:rFonts w:ascii="Times" w:hAnsi="Times"/>
        </w:rPr>
        <w:t xml:space="preserve"> and </w:t>
      </w:r>
      <w:r w:rsidR="00BC7C2B">
        <w:rPr>
          <w:rFonts w:ascii="Times" w:hAnsi="Times"/>
        </w:rPr>
        <w:t xml:space="preserve">limited </w:t>
      </w:r>
      <w:r>
        <w:rPr>
          <w:rFonts w:ascii="Times" w:hAnsi="Times"/>
        </w:rPr>
        <w:t>Congressional reporting requirements</w:t>
      </w:r>
      <w:r w:rsidR="00296375">
        <w:rPr>
          <w:rFonts w:ascii="Times" w:hAnsi="Times"/>
        </w:rPr>
        <w:t xml:space="preserve">. </w:t>
      </w:r>
    </w:p>
    <w:p w14:paraId="4430E146" w14:textId="77777777" w:rsidR="00D44DF9" w:rsidRDefault="00296375" w:rsidP="00B121D5">
      <w:pPr>
        <w:pStyle w:val="NormalWeb"/>
        <w:jc w:val="both"/>
        <w:rPr>
          <w:rFonts w:ascii="Times" w:hAnsi="Times"/>
        </w:rPr>
      </w:pPr>
      <w:r>
        <w:rPr>
          <w:rFonts w:ascii="Times" w:hAnsi="Times"/>
        </w:rPr>
        <w:t>Subsequent amendments</w:t>
      </w:r>
      <w:r w:rsidR="00052B81">
        <w:rPr>
          <w:rFonts w:ascii="Times" w:hAnsi="Times"/>
        </w:rPr>
        <w:t xml:space="preserve">, </w:t>
      </w:r>
      <w:r>
        <w:rPr>
          <w:rFonts w:ascii="Times" w:hAnsi="Times"/>
        </w:rPr>
        <w:t>often passed through annual National Defense Authorization Acts (NDAAs)</w:t>
      </w:r>
      <w:r w:rsidR="00052B81">
        <w:rPr>
          <w:rFonts w:ascii="Times" w:hAnsi="Times"/>
        </w:rPr>
        <w:t>,</w:t>
      </w:r>
      <w:r w:rsidR="00631D76">
        <w:rPr>
          <w:rStyle w:val="EndnoteReference"/>
          <w:rFonts w:ascii="Times" w:hAnsi="Times"/>
        </w:rPr>
        <w:endnoteReference w:id="4"/>
      </w:r>
      <w:r w:rsidR="006C3014">
        <w:rPr>
          <w:rFonts w:ascii="Times" w:hAnsi="Times"/>
        </w:rPr>
        <w:t xml:space="preserve"> </w:t>
      </w:r>
      <w:r>
        <w:rPr>
          <w:rFonts w:ascii="Times" w:hAnsi="Times"/>
        </w:rPr>
        <w:t xml:space="preserve">have expanded components of the </w:t>
      </w:r>
      <w:r w:rsidRPr="00052B81">
        <w:rPr>
          <w:rFonts w:ascii="Times" w:hAnsi="Times"/>
        </w:rPr>
        <w:t>Chemical and Biological Warfare Program</w:t>
      </w:r>
      <w:r w:rsidR="00052B81">
        <w:rPr>
          <w:rFonts w:ascii="Times" w:hAnsi="Times"/>
        </w:rPr>
        <w:t>; redefined bioweapons as "medical countermeasures</w:t>
      </w:r>
      <w:r w:rsidR="004A75DC">
        <w:rPr>
          <w:rFonts w:ascii="Times" w:hAnsi="Times"/>
        </w:rPr>
        <w:t>;</w:t>
      </w:r>
      <w:r w:rsidR="00052B81">
        <w:rPr>
          <w:rFonts w:ascii="Times" w:hAnsi="Times"/>
        </w:rPr>
        <w:t xml:space="preserve">" </w:t>
      </w:r>
      <w:r>
        <w:rPr>
          <w:rFonts w:ascii="Times" w:hAnsi="Times"/>
        </w:rPr>
        <w:t xml:space="preserve">transferred many </w:t>
      </w:r>
      <w:r w:rsidR="00052B81">
        <w:rPr>
          <w:rFonts w:ascii="Times" w:hAnsi="Times"/>
        </w:rPr>
        <w:t>components</w:t>
      </w:r>
      <w:r>
        <w:rPr>
          <w:rFonts w:ascii="Times" w:hAnsi="Times"/>
        </w:rPr>
        <w:t xml:space="preserve"> to statutory frameworks governing Health and Human Services programs</w:t>
      </w:r>
      <w:r w:rsidR="00052B81">
        <w:rPr>
          <w:rFonts w:ascii="Times" w:hAnsi="Times"/>
        </w:rPr>
        <w:t xml:space="preserve"> under "public health emergency" conditions;</w:t>
      </w:r>
      <w:r>
        <w:rPr>
          <w:rFonts w:ascii="Times" w:hAnsi="Times"/>
        </w:rPr>
        <w:t xml:space="preserve"> and </w:t>
      </w:r>
      <w:r w:rsidR="00BC7C2B">
        <w:rPr>
          <w:rFonts w:ascii="Times" w:hAnsi="Times"/>
        </w:rPr>
        <w:t>reduced or eliminated</w:t>
      </w:r>
      <w:r>
        <w:rPr>
          <w:rFonts w:ascii="Times" w:hAnsi="Times"/>
        </w:rPr>
        <w:t xml:space="preserve"> most Congressional reporting requirements</w:t>
      </w:r>
      <w:r w:rsidR="00D44DF9">
        <w:rPr>
          <w:rFonts w:ascii="Times" w:hAnsi="Times"/>
        </w:rPr>
        <w:t xml:space="preserve"> relating to </w:t>
      </w:r>
      <w:r w:rsidR="00D44DF9">
        <w:rPr>
          <w:rFonts w:ascii="Times" w:hAnsi="Times"/>
          <w:color w:val="000000" w:themeColor="text1"/>
        </w:rPr>
        <w:t>DOD Chemical and Biological Warfare, Biological Defense Research and related programs.</w:t>
      </w:r>
    </w:p>
    <w:p w14:paraId="223F20C9" w14:textId="77777777" w:rsidR="00866361" w:rsidRPr="00866361" w:rsidRDefault="00866361" w:rsidP="00866361">
      <w:pPr>
        <w:jc w:val="both"/>
        <w:rPr>
          <w:rFonts w:ascii="Times" w:hAnsi="Times"/>
          <w:b/>
          <w:bCs/>
        </w:rPr>
      </w:pPr>
      <w:r w:rsidRPr="007B6F88">
        <w:rPr>
          <w:rFonts w:ascii="Times" w:hAnsi="Times" w:cs="Arial"/>
          <w:color w:val="000000"/>
          <w:bdr w:val="none" w:sz="0" w:space="0" w:color="auto" w:frame="1"/>
        </w:rPr>
        <w:t xml:space="preserve">Key provisions </w:t>
      </w:r>
      <w:r w:rsidR="000A06E5">
        <w:rPr>
          <w:rFonts w:ascii="Times" w:hAnsi="Times" w:cs="Arial"/>
          <w:color w:val="000000"/>
          <w:bdr w:val="none" w:sz="0" w:space="0" w:color="auto" w:frame="1"/>
        </w:rPr>
        <w:t xml:space="preserve">of </w:t>
      </w:r>
      <w:r w:rsidR="00D44DF9">
        <w:rPr>
          <w:rFonts w:ascii="Times" w:hAnsi="Times" w:cs="Arial"/>
          <w:color w:val="000000"/>
          <w:bdr w:val="none" w:sz="0" w:space="0" w:color="auto" w:frame="1"/>
        </w:rPr>
        <w:t xml:space="preserve">the </w:t>
      </w:r>
      <w:r w:rsidR="000A06E5" w:rsidRPr="000A06E5">
        <w:rPr>
          <w:rFonts w:ascii="Times" w:hAnsi="Times" w:cs="Arial"/>
          <w:color w:val="000000"/>
          <w:bdr w:val="none" w:sz="0" w:space="0" w:color="auto" w:frame="1"/>
        </w:rPr>
        <w:t xml:space="preserve">Chemical and Biological Warfare </w:t>
      </w:r>
      <w:r w:rsidR="00D44DF9">
        <w:rPr>
          <w:rFonts w:ascii="Times" w:hAnsi="Times" w:cs="Arial"/>
          <w:color w:val="000000"/>
          <w:bdr w:val="none" w:sz="0" w:space="0" w:color="auto" w:frame="1"/>
        </w:rPr>
        <w:t>p</w:t>
      </w:r>
      <w:r w:rsidR="000A06E5" w:rsidRPr="000A06E5">
        <w:rPr>
          <w:rFonts w:ascii="Times" w:hAnsi="Times" w:cs="Arial"/>
          <w:color w:val="000000"/>
          <w:bdr w:val="none" w:sz="0" w:space="0" w:color="auto" w:frame="1"/>
        </w:rPr>
        <w:t>rogram</w:t>
      </w:r>
      <w:r w:rsidR="000A06E5">
        <w:rPr>
          <w:rFonts w:ascii="Times" w:hAnsi="Times" w:cs="Arial"/>
          <w:color w:val="000000"/>
          <w:bdr w:val="none" w:sz="0" w:space="0" w:color="auto" w:frame="1"/>
        </w:rPr>
        <w:t xml:space="preserve"> </w:t>
      </w:r>
      <w:r w:rsidRPr="007B6F88">
        <w:rPr>
          <w:rFonts w:ascii="Times" w:hAnsi="Times" w:cs="Arial"/>
          <w:color w:val="000000"/>
          <w:bdr w:val="none" w:sz="0" w:space="0" w:color="auto" w:frame="1"/>
        </w:rPr>
        <w:t>as of December 2022.</w:t>
      </w:r>
      <w:r w:rsidRPr="007B6F88">
        <w:rPr>
          <w:rStyle w:val="EndnoteReference"/>
          <w:rFonts w:ascii="Times" w:hAnsi="Times" w:cs="Arial"/>
          <w:color w:val="000000"/>
          <w:bdr w:val="none" w:sz="0" w:space="0" w:color="auto" w:frame="1"/>
        </w:rPr>
        <w:endnoteReference w:id="5"/>
      </w:r>
    </w:p>
    <w:p w14:paraId="6AD97723" w14:textId="1F2ED88D" w:rsidR="0059187D" w:rsidRDefault="004A75DC" w:rsidP="0059187D">
      <w:pPr>
        <w:pStyle w:val="NormalWeb"/>
        <w:jc w:val="both"/>
        <w:rPr>
          <w:rFonts w:ascii="Times" w:hAnsi="Times"/>
          <w:i/>
          <w:iCs/>
        </w:rPr>
      </w:pPr>
      <w:r>
        <w:rPr>
          <w:rFonts w:ascii="Times" w:hAnsi="Times"/>
          <w:i/>
          <w:iCs/>
        </w:rPr>
        <w:t xml:space="preserve">1983 - </w:t>
      </w:r>
      <w:r w:rsidR="00052B81" w:rsidRPr="00052B81">
        <w:rPr>
          <w:rFonts w:ascii="Times" w:hAnsi="Times"/>
          <w:i/>
          <w:iCs/>
        </w:rPr>
        <w:t>Public Health Emergency Program</w:t>
      </w:r>
    </w:p>
    <w:p w14:paraId="33BC7BCB" w14:textId="35FC4C39" w:rsidR="00296375" w:rsidRDefault="00296375" w:rsidP="00296375">
      <w:pPr>
        <w:pStyle w:val="NormalWeb"/>
        <w:jc w:val="both"/>
        <w:rPr>
          <w:rFonts w:ascii="Times" w:hAnsi="Times"/>
        </w:rPr>
      </w:pPr>
      <w:r>
        <w:rPr>
          <w:rFonts w:ascii="Times" w:hAnsi="Times"/>
        </w:rPr>
        <w:t xml:space="preserve">A key turning point occurred in 1983, with </w:t>
      </w:r>
      <w:r w:rsidR="007A2C40">
        <w:rPr>
          <w:rFonts w:ascii="Times" w:hAnsi="Times"/>
        </w:rPr>
        <w:t xml:space="preserve">Congressional </w:t>
      </w:r>
      <w:r>
        <w:rPr>
          <w:rFonts w:ascii="Times" w:hAnsi="Times"/>
        </w:rPr>
        <w:t>passage of the</w:t>
      </w:r>
      <w:r w:rsidR="00D5101C">
        <w:rPr>
          <w:rFonts w:ascii="Times" w:hAnsi="Times"/>
        </w:rPr>
        <w:t xml:space="preserve"> Public Health Service Act Amendment</w:t>
      </w:r>
      <w:r w:rsidR="007A2C40">
        <w:rPr>
          <w:rFonts w:ascii="Times" w:hAnsi="Times"/>
        </w:rPr>
        <w:t>,</w:t>
      </w:r>
      <w:r w:rsidR="00D5101C">
        <w:rPr>
          <w:rFonts w:ascii="Times" w:hAnsi="Times"/>
        </w:rPr>
        <w:t xml:space="preserve"> codified at 42 USC 247d</w:t>
      </w:r>
      <w:r>
        <w:rPr>
          <w:rFonts w:ascii="Times" w:hAnsi="Times"/>
        </w:rPr>
        <w:t xml:space="preserve"> to create a sweeping </w:t>
      </w:r>
      <w:r w:rsidRPr="00296375">
        <w:rPr>
          <w:rFonts w:ascii="Times" w:hAnsi="Times"/>
          <w:b/>
          <w:bCs/>
        </w:rPr>
        <w:t>Public Health Emergency Program</w:t>
      </w:r>
      <w:r>
        <w:rPr>
          <w:rFonts w:ascii="Times" w:hAnsi="Times"/>
        </w:rPr>
        <w:t xml:space="preserve"> </w:t>
      </w:r>
      <w:r w:rsidR="00440D26">
        <w:rPr>
          <w:rFonts w:ascii="Times" w:hAnsi="Times"/>
        </w:rPr>
        <w:t xml:space="preserve">under the direction of </w:t>
      </w:r>
      <w:r>
        <w:rPr>
          <w:rFonts w:ascii="Times" w:hAnsi="Times"/>
        </w:rPr>
        <w:t>the Secretary of Health and Human Services</w:t>
      </w:r>
      <w:r w:rsidR="007A2C40">
        <w:rPr>
          <w:rFonts w:ascii="Times" w:hAnsi="Times"/>
        </w:rPr>
        <w:t>. T</w:t>
      </w:r>
      <w:r w:rsidR="00440D26">
        <w:rPr>
          <w:rFonts w:ascii="Times" w:hAnsi="Times"/>
        </w:rPr>
        <w:t>he Public Health Emergency program at 42 USC 247d falls under</w:t>
      </w:r>
      <w:r w:rsidR="0059187D">
        <w:rPr>
          <w:rFonts w:ascii="Times" w:hAnsi="Times"/>
        </w:rPr>
        <w:t xml:space="preserve"> </w:t>
      </w:r>
      <w:r w:rsidR="0059187D" w:rsidRPr="0059187D">
        <w:rPr>
          <w:rFonts w:ascii="Times" w:hAnsi="Times"/>
        </w:rPr>
        <w:t>Title 42</w:t>
      </w:r>
      <w:r w:rsidR="0059187D">
        <w:rPr>
          <w:rFonts w:ascii="Times" w:hAnsi="Times"/>
        </w:rPr>
        <w:t xml:space="preserve">, Public Health and Welfare, Chapter 6A, Public Health Service, Subchapter II, Powers and Duties, </w:t>
      </w:r>
      <w:r w:rsidR="0059187D" w:rsidRPr="0059187D">
        <w:rPr>
          <w:rFonts w:ascii="Times" w:hAnsi="Times"/>
        </w:rPr>
        <w:t>Part B</w:t>
      </w:r>
      <w:r w:rsidR="0059187D">
        <w:rPr>
          <w:rFonts w:ascii="Times" w:hAnsi="Times"/>
        </w:rPr>
        <w:t xml:space="preserve">, </w:t>
      </w:r>
      <w:r w:rsidR="0059187D" w:rsidRPr="0059187D">
        <w:rPr>
          <w:rFonts w:ascii="Times" w:hAnsi="Times"/>
          <w:b/>
          <w:bCs/>
        </w:rPr>
        <w:t>Federal-State Cooperation</w:t>
      </w:r>
      <w:r w:rsidR="0059187D">
        <w:rPr>
          <w:rFonts w:ascii="Times" w:hAnsi="Times"/>
        </w:rPr>
        <w:t>.</w:t>
      </w:r>
    </w:p>
    <w:p w14:paraId="60E5DACF" w14:textId="6B360317" w:rsidR="00052B81" w:rsidRDefault="00B24885" w:rsidP="00296375">
      <w:pPr>
        <w:pStyle w:val="NormalWeb"/>
        <w:jc w:val="both"/>
        <w:rPr>
          <w:rFonts w:ascii="Times" w:hAnsi="Times"/>
        </w:rPr>
      </w:pPr>
      <w:r>
        <w:rPr>
          <w:rFonts w:ascii="Times" w:hAnsi="Times"/>
        </w:rPr>
        <w:t xml:space="preserve">The Public Health Emergency </w:t>
      </w:r>
      <w:r w:rsidR="00052B81">
        <w:rPr>
          <w:rFonts w:ascii="Times" w:hAnsi="Times"/>
        </w:rPr>
        <w:t xml:space="preserve">framework </w:t>
      </w:r>
      <w:r w:rsidR="00EE4FC9">
        <w:rPr>
          <w:rFonts w:ascii="Times" w:hAnsi="Times"/>
        </w:rPr>
        <w:t>added a new category of national emergency under which Constitutional and statutory protections for American</w:t>
      </w:r>
      <w:r w:rsidR="00052B81">
        <w:rPr>
          <w:rFonts w:ascii="Times" w:hAnsi="Times"/>
        </w:rPr>
        <w:t xml:space="preserve"> lives, liberties and property</w:t>
      </w:r>
      <w:r w:rsidR="00EE4FC9">
        <w:rPr>
          <w:rFonts w:ascii="Times" w:hAnsi="Times"/>
        </w:rPr>
        <w:t>, against government</w:t>
      </w:r>
      <w:r w:rsidR="00052B81">
        <w:rPr>
          <w:rFonts w:ascii="Times" w:hAnsi="Times"/>
        </w:rPr>
        <w:t xml:space="preserve"> overreach and abuse</w:t>
      </w:r>
      <w:r w:rsidR="00EE4FC9">
        <w:rPr>
          <w:rFonts w:ascii="Times" w:hAnsi="Times"/>
        </w:rPr>
        <w:t xml:space="preserve">, could </w:t>
      </w:r>
      <w:r w:rsidR="00866361">
        <w:rPr>
          <w:rFonts w:ascii="Times" w:hAnsi="Times"/>
        </w:rPr>
        <w:t xml:space="preserve">apparently </w:t>
      </w:r>
      <w:r w:rsidR="00EE4FC9">
        <w:rPr>
          <w:rFonts w:ascii="Times" w:hAnsi="Times"/>
        </w:rPr>
        <w:t xml:space="preserve">be suspended unilaterally by the President </w:t>
      </w:r>
      <w:r w:rsidR="00866361">
        <w:rPr>
          <w:rFonts w:ascii="Times" w:hAnsi="Times"/>
        </w:rPr>
        <w:t>in consultation with</w:t>
      </w:r>
      <w:r w:rsidR="00EE4FC9">
        <w:rPr>
          <w:rFonts w:ascii="Times" w:hAnsi="Times"/>
        </w:rPr>
        <w:t xml:space="preserve"> Cabinet secretaries</w:t>
      </w:r>
      <w:r w:rsidR="0059187D">
        <w:rPr>
          <w:rFonts w:ascii="Times" w:hAnsi="Times"/>
        </w:rPr>
        <w:t xml:space="preserve">, </w:t>
      </w:r>
      <w:r w:rsidR="00866361">
        <w:rPr>
          <w:rFonts w:ascii="Times" w:hAnsi="Times"/>
        </w:rPr>
        <w:t xml:space="preserve">without Congressional </w:t>
      </w:r>
      <w:r w:rsidR="005118DF">
        <w:rPr>
          <w:rFonts w:ascii="Times" w:hAnsi="Times"/>
        </w:rPr>
        <w:t xml:space="preserve">oversight </w:t>
      </w:r>
      <w:r w:rsidR="0059187D">
        <w:rPr>
          <w:rFonts w:ascii="Times" w:hAnsi="Times"/>
        </w:rPr>
        <w:t>[</w:t>
      </w:r>
      <w:r w:rsidR="0059187D" w:rsidRPr="00BC7C2B">
        <w:rPr>
          <w:rFonts w:ascii="Times" w:hAnsi="Times"/>
        </w:rPr>
        <w:t>42 USC 247d-6d(b)(9)</w:t>
      </w:r>
      <w:r w:rsidR="0059187D">
        <w:rPr>
          <w:rFonts w:ascii="Times" w:hAnsi="Times"/>
        </w:rPr>
        <w:t xml:space="preserve">] </w:t>
      </w:r>
      <w:r w:rsidR="00866361">
        <w:rPr>
          <w:rFonts w:ascii="Times" w:hAnsi="Times"/>
        </w:rPr>
        <w:t>or judicial</w:t>
      </w:r>
      <w:r w:rsidR="005118DF">
        <w:rPr>
          <w:rFonts w:ascii="Times" w:hAnsi="Times"/>
        </w:rPr>
        <w:t xml:space="preserve"> review</w:t>
      </w:r>
      <w:r w:rsidR="00866361">
        <w:rPr>
          <w:rFonts w:ascii="Times" w:hAnsi="Times"/>
        </w:rPr>
        <w:t xml:space="preserve"> </w:t>
      </w:r>
      <w:r w:rsidR="0059187D">
        <w:rPr>
          <w:rFonts w:ascii="Times" w:hAnsi="Times"/>
        </w:rPr>
        <w:t>[</w:t>
      </w:r>
      <w:r w:rsidR="0059187D" w:rsidRPr="00BC7C2B">
        <w:rPr>
          <w:rFonts w:ascii="Times" w:hAnsi="Times"/>
        </w:rPr>
        <w:t>42 USC 247d-6d(b)(7)</w:t>
      </w:r>
      <w:r w:rsidR="0059187D">
        <w:rPr>
          <w:rFonts w:ascii="Times" w:hAnsi="Times"/>
        </w:rPr>
        <w:t>],</w:t>
      </w:r>
      <w:r w:rsidR="00866361">
        <w:rPr>
          <w:rFonts w:ascii="Times" w:hAnsi="Times"/>
        </w:rPr>
        <w:t xml:space="preserve"> and without respect to Constitutional provisions reserving unenumerated powers to state and local governments and to the People themselves</w:t>
      </w:r>
      <w:r w:rsidR="0059187D">
        <w:rPr>
          <w:rFonts w:ascii="Times" w:hAnsi="Times"/>
        </w:rPr>
        <w:t xml:space="preserve"> [</w:t>
      </w:r>
      <w:r w:rsidR="0059187D" w:rsidRPr="00BC7C2B">
        <w:rPr>
          <w:rFonts w:ascii="Times" w:hAnsi="Times"/>
        </w:rPr>
        <w:t>42 USC 247d-6d(b)(8)</w:t>
      </w:r>
      <w:r w:rsidR="0059187D">
        <w:rPr>
          <w:rFonts w:ascii="Times" w:hAnsi="Times"/>
        </w:rPr>
        <w:t>]</w:t>
      </w:r>
      <w:r w:rsidR="00866361">
        <w:rPr>
          <w:rFonts w:ascii="Times" w:hAnsi="Times"/>
        </w:rPr>
        <w:t xml:space="preserve">. </w:t>
      </w:r>
      <w:r w:rsidR="00EE4FC9">
        <w:rPr>
          <w:rFonts w:ascii="Times" w:hAnsi="Times"/>
        </w:rPr>
        <w:t xml:space="preserve"> </w:t>
      </w:r>
    </w:p>
    <w:p w14:paraId="6D081CA6" w14:textId="79FB3E22" w:rsidR="00EE4FC9" w:rsidRDefault="00EE4FC9" w:rsidP="00296375">
      <w:pPr>
        <w:pStyle w:val="NormalWeb"/>
        <w:jc w:val="both"/>
        <w:rPr>
          <w:rFonts w:ascii="Times" w:hAnsi="Times"/>
        </w:rPr>
      </w:pPr>
      <w:r>
        <w:rPr>
          <w:rFonts w:ascii="Times" w:hAnsi="Times"/>
        </w:rPr>
        <w:t>Public health emergencies joined war</w:t>
      </w:r>
      <w:r w:rsidR="007A2C40">
        <w:rPr>
          <w:rFonts w:ascii="Times" w:hAnsi="Times"/>
        </w:rPr>
        <w:t>s</w:t>
      </w:r>
      <w:r>
        <w:rPr>
          <w:rFonts w:ascii="Times" w:hAnsi="Times"/>
        </w:rPr>
        <w:t>, natural disasters and other emergency circumstances</w:t>
      </w:r>
      <w:r w:rsidR="00866361">
        <w:rPr>
          <w:rFonts w:ascii="Times" w:hAnsi="Times"/>
        </w:rPr>
        <w:t xml:space="preserve"> apparently capable of subordinating or federalizing state</w:t>
      </w:r>
      <w:r w:rsidR="00610A2A">
        <w:rPr>
          <w:rFonts w:ascii="Times" w:hAnsi="Times"/>
        </w:rPr>
        <w:t>,</w:t>
      </w:r>
      <w:r w:rsidR="00866361">
        <w:rPr>
          <w:rFonts w:ascii="Times" w:hAnsi="Times"/>
        </w:rPr>
        <w:t xml:space="preserve"> local</w:t>
      </w:r>
      <w:r w:rsidR="00610A2A">
        <w:rPr>
          <w:rFonts w:ascii="Times" w:hAnsi="Times"/>
        </w:rPr>
        <w:t xml:space="preserve"> and tribal</w:t>
      </w:r>
      <w:r w:rsidR="00866361">
        <w:rPr>
          <w:rFonts w:ascii="Times" w:hAnsi="Times"/>
        </w:rPr>
        <w:t xml:space="preserve"> government authorities, codified by the 1973 War Powers Resolution, 1976 National Emergencies Act, </w:t>
      </w:r>
      <w:r w:rsidR="00866361" w:rsidRPr="00866361">
        <w:rPr>
          <w:rFonts w:ascii="Times" w:hAnsi="Times"/>
        </w:rPr>
        <w:t xml:space="preserve">1988 </w:t>
      </w:r>
      <w:r w:rsidR="00866361" w:rsidRPr="00866361">
        <w:t>Robert T. Stafford Disaster Relief and Emergency Act of 1988, 2001 Authorization for Use of Military Force, 2001 PATRIOT Act</w:t>
      </w:r>
      <w:r w:rsidR="00866361">
        <w:t>, 2002 Homeland Security Act</w:t>
      </w:r>
      <w:r w:rsidR="00866361" w:rsidRPr="00866361">
        <w:t xml:space="preserve"> and related provisions</w:t>
      </w:r>
      <w:r w:rsidRPr="00866361">
        <w:rPr>
          <w:rFonts w:ascii="Times" w:hAnsi="Times"/>
        </w:rPr>
        <w:t>.</w:t>
      </w:r>
      <w:r w:rsidRPr="00866361">
        <w:rPr>
          <w:rStyle w:val="EndnoteReference"/>
          <w:rFonts w:ascii="Times" w:hAnsi="Times"/>
        </w:rPr>
        <w:endnoteReference w:id="6"/>
      </w:r>
    </w:p>
    <w:p w14:paraId="6B400A42" w14:textId="77777777" w:rsidR="00296375" w:rsidRDefault="0059187D" w:rsidP="00296375">
      <w:pPr>
        <w:pStyle w:val="NormalWeb"/>
        <w:jc w:val="both"/>
        <w:rPr>
          <w:rFonts w:ascii="Times" w:hAnsi="Times"/>
        </w:rPr>
      </w:pPr>
      <w:r>
        <w:rPr>
          <w:rFonts w:ascii="Times" w:hAnsi="Times"/>
        </w:rPr>
        <w:t>Through the 1983 act and subsequent amendments,</w:t>
      </w:r>
      <w:r>
        <w:rPr>
          <w:rStyle w:val="EndnoteReference"/>
          <w:rFonts w:ascii="Times" w:hAnsi="Times"/>
        </w:rPr>
        <w:endnoteReference w:id="7"/>
      </w:r>
      <w:r>
        <w:rPr>
          <w:rFonts w:ascii="Times" w:hAnsi="Times"/>
        </w:rPr>
        <w:t xml:space="preserve"> Congress </w:t>
      </w:r>
      <w:r w:rsidR="00D5101C">
        <w:rPr>
          <w:rFonts w:ascii="Times" w:hAnsi="Times"/>
        </w:rPr>
        <w:t xml:space="preserve">appears to have authorized concentration of </w:t>
      </w:r>
      <w:r>
        <w:rPr>
          <w:rFonts w:ascii="Times" w:hAnsi="Times"/>
        </w:rPr>
        <w:t xml:space="preserve">federal </w:t>
      </w:r>
      <w:r w:rsidR="00D5101C">
        <w:rPr>
          <w:rFonts w:ascii="Times" w:hAnsi="Times"/>
        </w:rPr>
        <w:t xml:space="preserve">governing power in the hands of the Secretary of Health and Human </w:t>
      </w:r>
      <w:r w:rsidR="00D5101C">
        <w:rPr>
          <w:rFonts w:ascii="Times" w:hAnsi="Times"/>
        </w:rPr>
        <w:lastRenderedPageBreak/>
        <w:t>Services during a</w:t>
      </w:r>
      <w:r w:rsidR="005242DA">
        <w:rPr>
          <w:rFonts w:ascii="Times" w:hAnsi="Times"/>
        </w:rPr>
        <w:t>ny</w:t>
      </w:r>
      <w:r w:rsidR="00D5101C">
        <w:rPr>
          <w:rFonts w:ascii="Times" w:hAnsi="Times"/>
        </w:rPr>
        <w:t xml:space="preserve"> "public health emergency" as determined</w:t>
      </w:r>
      <w:r w:rsidR="00296375">
        <w:rPr>
          <w:rFonts w:ascii="Times" w:hAnsi="Times"/>
        </w:rPr>
        <w:t xml:space="preserve"> </w:t>
      </w:r>
      <w:r w:rsidR="005242DA">
        <w:rPr>
          <w:rFonts w:ascii="Times" w:hAnsi="Times"/>
        </w:rPr>
        <w:t xml:space="preserve">and extended </w:t>
      </w:r>
      <w:r w:rsidR="00D5101C">
        <w:rPr>
          <w:rFonts w:ascii="Times" w:hAnsi="Times"/>
        </w:rPr>
        <w:t>by the HHS Secretary at his or her sole discretion</w:t>
      </w:r>
      <w:r w:rsidR="00296375">
        <w:rPr>
          <w:rFonts w:ascii="Times" w:hAnsi="Times"/>
        </w:rPr>
        <w:t>.</w:t>
      </w:r>
    </w:p>
    <w:p w14:paraId="12D66CDB" w14:textId="77777777" w:rsidR="00866361" w:rsidRPr="00610A2A" w:rsidRDefault="00866361" w:rsidP="00610A2A">
      <w:pPr>
        <w:jc w:val="both"/>
        <w:rPr>
          <w:rFonts w:ascii="Times" w:hAnsi="Times" w:cs="Arial"/>
        </w:rPr>
      </w:pPr>
      <w:r w:rsidRPr="007B6F88">
        <w:rPr>
          <w:rFonts w:ascii="Times" w:hAnsi="Times"/>
        </w:rPr>
        <w:t xml:space="preserve">Key provisions </w:t>
      </w:r>
      <w:r w:rsidR="000A06E5">
        <w:rPr>
          <w:rFonts w:ascii="Times" w:hAnsi="Times"/>
        </w:rPr>
        <w:t xml:space="preserve">of Public Health Emergencies program </w:t>
      </w:r>
      <w:r w:rsidRPr="007B6F88">
        <w:rPr>
          <w:rFonts w:ascii="Times" w:hAnsi="Times"/>
        </w:rPr>
        <w:t>as of December 2022.</w:t>
      </w:r>
      <w:r w:rsidRPr="007B6F88">
        <w:rPr>
          <w:rStyle w:val="EndnoteReference"/>
          <w:rFonts w:ascii="Times" w:hAnsi="Times"/>
        </w:rPr>
        <w:endnoteReference w:id="8"/>
      </w:r>
      <w:r w:rsidRPr="007B6F88">
        <w:rPr>
          <w:rFonts w:ascii="Times" w:hAnsi="Times" w:cs="Arial"/>
        </w:rPr>
        <w:t> </w:t>
      </w:r>
    </w:p>
    <w:p w14:paraId="471AD02B" w14:textId="77777777" w:rsidR="00866361" w:rsidRPr="00866361" w:rsidRDefault="004A75DC" w:rsidP="00B121D5">
      <w:pPr>
        <w:pStyle w:val="NormalWeb"/>
        <w:jc w:val="both"/>
        <w:rPr>
          <w:rFonts w:ascii="Times" w:hAnsi="Times"/>
          <w:i/>
          <w:iCs/>
        </w:rPr>
      </w:pPr>
      <w:r>
        <w:rPr>
          <w:rFonts w:ascii="Times" w:hAnsi="Times"/>
          <w:i/>
          <w:iCs/>
        </w:rPr>
        <w:t xml:space="preserve">1986 - </w:t>
      </w:r>
      <w:r w:rsidR="00866361" w:rsidRPr="00866361">
        <w:rPr>
          <w:rFonts w:ascii="Times" w:hAnsi="Times"/>
          <w:i/>
          <w:iCs/>
        </w:rPr>
        <w:t>National Vaccine Program; Vaccine Injury Compensation Program</w:t>
      </w:r>
      <w:r w:rsidR="00866361">
        <w:rPr>
          <w:rFonts w:ascii="Times" w:hAnsi="Times"/>
          <w:i/>
          <w:iCs/>
        </w:rPr>
        <w:t xml:space="preserve"> </w:t>
      </w:r>
    </w:p>
    <w:p w14:paraId="6AB0EDD1" w14:textId="3451B248" w:rsidR="00866361" w:rsidRDefault="00866361" w:rsidP="00B121D5">
      <w:pPr>
        <w:pStyle w:val="NormalWeb"/>
        <w:jc w:val="both"/>
        <w:rPr>
          <w:rFonts w:ascii="Times" w:hAnsi="Times"/>
        </w:rPr>
      </w:pPr>
      <w:r>
        <w:rPr>
          <w:rFonts w:ascii="Times" w:hAnsi="Times"/>
        </w:rPr>
        <w:t xml:space="preserve">In </w:t>
      </w:r>
      <w:r w:rsidR="00BC7C2B" w:rsidRPr="00866361">
        <w:rPr>
          <w:rFonts w:ascii="Times" w:hAnsi="Times"/>
        </w:rPr>
        <w:t>1986</w:t>
      </w:r>
      <w:r>
        <w:rPr>
          <w:rFonts w:ascii="Times" w:hAnsi="Times"/>
        </w:rPr>
        <w:t xml:space="preserve">, Congress established the first </w:t>
      </w:r>
      <w:r w:rsidRPr="00610A2A">
        <w:rPr>
          <w:rFonts w:ascii="Times" w:hAnsi="Times"/>
          <w:b/>
          <w:bCs/>
        </w:rPr>
        <w:t>National Vaccine Program</w:t>
      </w:r>
      <w:r>
        <w:rPr>
          <w:rFonts w:ascii="Times" w:hAnsi="Times"/>
        </w:rPr>
        <w:t xml:space="preserve"> and </w:t>
      </w:r>
      <w:r w:rsidRPr="00EB1108">
        <w:rPr>
          <w:rFonts w:ascii="Times" w:hAnsi="Times"/>
          <w:b/>
          <w:bCs/>
        </w:rPr>
        <w:t>Vaccine Injury Compensation Program</w:t>
      </w:r>
      <w:r w:rsidR="009A26AB">
        <w:rPr>
          <w:rFonts w:ascii="Times" w:hAnsi="Times"/>
        </w:rPr>
        <w:t xml:space="preserve"> (VICP)</w:t>
      </w:r>
      <w:r>
        <w:rPr>
          <w:rFonts w:ascii="Times" w:hAnsi="Times"/>
        </w:rPr>
        <w:t xml:space="preserve">, at </w:t>
      </w:r>
      <w:r w:rsidR="00BC7C2B" w:rsidRPr="00866361">
        <w:rPr>
          <w:rFonts w:ascii="Times" w:hAnsi="Times"/>
        </w:rPr>
        <w:t xml:space="preserve">42 </w:t>
      </w:r>
      <w:r>
        <w:rPr>
          <w:rFonts w:ascii="Times" w:hAnsi="Times"/>
        </w:rPr>
        <w:t>US</w:t>
      </w:r>
      <w:r w:rsidR="00BC7C2B" w:rsidRPr="00866361">
        <w:rPr>
          <w:rFonts w:ascii="Times" w:hAnsi="Times"/>
        </w:rPr>
        <w:t xml:space="preserve"> §300aa-1 et seq</w:t>
      </w:r>
      <w:r>
        <w:rPr>
          <w:rFonts w:ascii="Times" w:hAnsi="Times"/>
        </w:rPr>
        <w:t>.</w:t>
      </w:r>
    </w:p>
    <w:p w14:paraId="20A04FDB" w14:textId="2C393794" w:rsidR="00C0480A" w:rsidRDefault="00866361" w:rsidP="00B121D5">
      <w:pPr>
        <w:pStyle w:val="NormalWeb"/>
        <w:jc w:val="both"/>
        <w:rPr>
          <w:rFonts w:ascii="Times" w:hAnsi="Times"/>
        </w:rPr>
      </w:pPr>
      <w:r>
        <w:rPr>
          <w:rFonts w:ascii="Times" w:hAnsi="Times"/>
        </w:rPr>
        <w:t>The relevance of this Congressional act for the</w:t>
      </w:r>
      <w:r w:rsidR="007A2C40">
        <w:rPr>
          <w:rFonts w:ascii="Times" w:hAnsi="Times"/>
        </w:rPr>
        <w:t xml:space="preserve"> production and dispensing of</w:t>
      </w:r>
      <w:r>
        <w:rPr>
          <w:rFonts w:ascii="Times" w:hAnsi="Times"/>
        </w:rPr>
        <w:t xml:space="preserve"> Covid-19 </w:t>
      </w:r>
      <w:r w:rsidR="005118DF">
        <w:rPr>
          <w:rFonts w:ascii="Times" w:hAnsi="Times"/>
        </w:rPr>
        <w:t>"</w:t>
      </w:r>
      <w:r>
        <w:rPr>
          <w:rFonts w:ascii="Times" w:hAnsi="Times"/>
        </w:rPr>
        <w:t>vaccine</w:t>
      </w:r>
      <w:r w:rsidR="007A2C40">
        <w:rPr>
          <w:rFonts w:ascii="Times" w:hAnsi="Times"/>
        </w:rPr>
        <w:t>s</w:t>
      </w:r>
      <w:r w:rsidR="005118DF">
        <w:rPr>
          <w:rFonts w:ascii="Times" w:hAnsi="Times"/>
        </w:rPr>
        <w:t>"</w:t>
      </w:r>
      <w:r>
        <w:rPr>
          <w:rFonts w:ascii="Times" w:hAnsi="Times"/>
        </w:rPr>
        <w:t xml:space="preserve"> is that it set up </w:t>
      </w:r>
      <w:r w:rsidR="000A06E5">
        <w:rPr>
          <w:rFonts w:ascii="Times" w:hAnsi="Times"/>
        </w:rPr>
        <w:t>a legal</w:t>
      </w:r>
      <w:r>
        <w:rPr>
          <w:rFonts w:ascii="Times" w:hAnsi="Times"/>
        </w:rPr>
        <w:t xml:space="preserve"> model and precedent providing civil </w:t>
      </w:r>
      <w:r w:rsidR="00610A2A">
        <w:rPr>
          <w:rFonts w:ascii="Times" w:hAnsi="Times"/>
        </w:rPr>
        <w:t xml:space="preserve">and criminal </w:t>
      </w:r>
      <w:r>
        <w:rPr>
          <w:rFonts w:ascii="Times" w:hAnsi="Times"/>
        </w:rPr>
        <w:t>immunity</w:t>
      </w:r>
      <w:r w:rsidR="00610A2A">
        <w:rPr>
          <w:rFonts w:ascii="Times" w:hAnsi="Times"/>
        </w:rPr>
        <w:t xml:space="preserve"> for producers</w:t>
      </w:r>
      <w:r w:rsidR="00362325">
        <w:rPr>
          <w:rFonts w:ascii="Times" w:hAnsi="Times"/>
        </w:rPr>
        <w:t>,</w:t>
      </w:r>
      <w:r w:rsidR="00610A2A">
        <w:rPr>
          <w:rFonts w:ascii="Times" w:hAnsi="Times"/>
        </w:rPr>
        <w:t xml:space="preserve"> </w:t>
      </w:r>
      <w:r w:rsidR="00362325">
        <w:rPr>
          <w:rFonts w:ascii="Times" w:hAnsi="Times"/>
        </w:rPr>
        <w:t>"</w:t>
      </w:r>
      <w:r w:rsidR="00610A2A">
        <w:rPr>
          <w:rFonts w:ascii="Times" w:hAnsi="Times"/>
        </w:rPr>
        <w:t>vaccinators</w:t>
      </w:r>
      <w:r w:rsidR="00362325">
        <w:rPr>
          <w:rFonts w:ascii="Times" w:hAnsi="Times"/>
        </w:rPr>
        <w:t>" and others</w:t>
      </w:r>
      <w:r w:rsidR="00610A2A">
        <w:rPr>
          <w:rFonts w:ascii="Times" w:hAnsi="Times"/>
        </w:rPr>
        <w:t xml:space="preserve"> </w:t>
      </w:r>
      <w:r w:rsidR="00362325">
        <w:rPr>
          <w:rFonts w:ascii="Times" w:hAnsi="Times"/>
        </w:rPr>
        <w:t xml:space="preserve">who manufacture and/or </w:t>
      </w:r>
      <w:r w:rsidR="004A75DC">
        <w:rPr>
          <w:rFonts w:ascii="Times" w:hAnsi="Times"/>
        </w:rPr>
        <w:t>us</w:t>
      </w:r>
      <w:r w:rsidR="00362325">
        <w:rPr>
          <w:rFonts w:ascii="Times" w:hAnsi="Times"/>
        </w:rPr>
        <w:t>e</w:t>
      </w:r>
      <w:r w:rsidR="00610A2A">
        <w:rPr>
          <w:rFonts w:ascii="Times" w:hAnsi="Times"/>
        </w:rPr>
        <w:t xml:space="preserve"> products classified by the US Department of Health and Human Services, operating through subagencies including Centers for Disease Control and Prevention </w:t>
      </w:r>
      <w:r w:rsidR="004A75DC">
        <w:rPr>
          <w:rFonts w:ascii="Times" w:hAnsi="Times"/>
        </w:rPr>
        <w:t xml:space="preserve">(CDC) </w:t>
      </w:r>
      <w:r w:rsidR="00610A2A">
        <w:rPr>
          <w:rFonts w:ascii="Times" w:hAnsi="Times"/>
        </w:rPr>
        <w:t>and Food and Drug Administration</w:t>
      </w:r>
      <w:r w:rsidR="004A75DC">
        <w:rPr>
          <w:rFonts w:ascii="Times" w:hAnsi="Times"/>
        </w:rPr>
        <w:t xml:space="preserve"> (FDA)</w:t>
      </w:r>
      <w:r w:rsidR="000A06E5">
        <w:rPr>
          <w:rFonts w:ascii="Times" w:hAnsi="Times"/>
        </w:rPr>
        <w:t>,</w:t>
      </w:r>
      <w:r w:rsidR="00610A2A">
        <w:rPr>
          <w:rFonts w:ascii="Times" w:hAnsi="Times"/>
        </w:rPr>
        <w:t xml:space="preserve"> </w:t>
      </w:r>
      <w:r w:rsidR="00C0480A">
        <w:rPr>
          <w:rFonts w:ascii="Times" w:hAnsi="Times"/>
        </w:rPr>
        <w:t>as "v</w:t>
      </w:r>
      <w:r w:rsidR="00BC7C2B" w:rsidRPr="00866361">
        <w:rPr>
          <w:rFonts w:ascii="Times" w:hAnsi="Times"/>
        </w:rPr>
        <w:t>accines</w:t>
      </w:r>
      <w:r w:rsidR="00C0480A">
        <w:rPr>
          <w:rFonts w:ascii="Times" w:hAnsi="Times"/>
        </w:rPr>
        <w:t>.</w:t>
      </w:r>
      <w:r w:rsidR="00BC7C2B" w:rsidRPr="00866361">
        <w:rPr>
          <w:rFonts w:ascii="Times" w:hAnsi="Times"/>
        </w:rPr>
        <w:t>"</w:t>
      </w:r>
    </w:p>
    <w:p w14:paraId="412451BC" w14:textId="148F76BE" w:rsidR="00C0480A" w:rsidRDefault="00C0480A" w:rsidP="00B121D5">
      <w:pPr>
        <w:pStyle w:val="NormalWeb"/>
        <w:jc w:val="both"/>
        <w:rPr>
          <w:rFonts w:ascii="Times" w:hAnsi="Times"/>
        </w:rPr>
      </w:pPr>
      <w:r>
        <w:rPr>
          <w:rFonts w:ascii="Times" w:hAnsi="Times"/>
        </w:rPr>
        <w:t xml:space="preserve">The model has been replicated to shield </w:t>
      </w:r>
      <w:r w:rsidR="00362325">
        <w:rPr>
          <w:rFonts w:ascii="Times" w:hAnsi="Times"/>
        </w:rPr>
        <w:t xml:space="preserve">"covered persons:" </w:t>
      </w:r>
      <w:r>
        <w:rPr>
          <w:rFonts w:ascii="Times" w:hAnsi="Times"/>
        </w:rPr>
        <w:t xml:space="preserve">those who produce, distribute and administer bioagents </w:t>
      </w:r>
      <w:r w:rsidR="00B42E07">
        <w:rPr>
          <w:rFonts w:ascii="Times" w:hAnsi="Times"/>
        </w:rPr>
        <w:t xml:space="preserve">classified by HHS </w:t>
      </w:r>
      <w:r>
        <w:rPr>
          <w:rFonts w:ascii="Times" w:hAnsi="Times"/>
        </w:rPr>
        <w:t>as "medical countermeasures" during "public health emergencies,</w:t>
      </w:r>
      <w:r w:rsidR="00B42E07">
        <w:rPr>
          <w:rFonts w:ascii="Times" w:hAnsi="Times"/>
        </w:rPr>
        <w:t>"</w:t>
      </w:r>
      <w:r>
        <w:rPr>
          <w:rFonts w:ascii="Times" w:hAnsi="Times"/>
        </w:rPr>
        <w:t xml:space="preserve"> through the Countermeasures Injury Compensation Program</w:t>
      </w:r>
      <w:r w:rsidR="009A26AB">
        <w:rPr>
          <w:rFonts w:ascii="Times" w:hAnsi="Times"/>
        </w:rPr>
        <w:t xml:space="preserve"> (CICP)</w:t>
      </w:r>
      <w:r>
        <w:rPr>
          <w:rFonts w:ascii="Times" w:hAnsi="Times"/>
        </w:rPr>
        <w:t>, established by Congress through the PREP Act in 2005.</w:t>
      </w:r>
      <w:r w:rsidR="00362325">
        <w:rPr>
          <w:rStyle w:val="EndnoteReference"/>
          <w:rFonts w:ascii="Times" w:hAnsi="Times"/>
        </w:rPr>
        <w:endnoteReference w:id="9"/>
      </w:r>
    </w:p>
    <w:p w14:paraId="29607696" w14:textId="6041790A" w:rsidR="00610A2A" w:rsidRDefault="00610A2A" w:rsidP="00B121D5">
      <w:pPr>
        <w:pStyle w:val="NormalWeb"/>
        <w:jc w:val="both"/>
        <w:rPr>
          <w:rFonts w:ascii="Times" w:hAnsi="Times"/>
        </w:rPr>
      </w:pPr>
      <w:r>
        <w:rPr>
          <w:rFonts w:ascii="Times" w:hAnsi="Times"/>
        </w:rPr>
        <w:t>The public rationale for VICP</w:t>
      </w:r>
      <w:r w:rsidR="00C0480A">
        <w:rPr>
          <w:rFonts w:ascii="Times" w:hAnsi="Times"/>
        </w:rPr>
        <w:t xml:space="preserve"> and CICP</w:t>
      </w:r>
      <w:r>
        <w:rPr>
          <w:rFonts w:ascii="Times" w:hAnsi="Times"/>
        </w:rPr>
        <w:t xml:space="preserve"> liability immunities for producers </w:t>
      </w:r>
      <w:r w:rsidR="00B42E07">
        <w:rPr>
          <w:rFonts w:ascii="Times" w:hAnsi="Times"/>
        </w:rPr>
        <w:t xml:space="preserve">who manufacture </w:t>
      </w:r>
      <w:r>
        <w:rPr>
          <w:rFonts w:ascii="Times" w:hAnsi="Times"/>
        </w:rPr>
        <w:t xml:space="preserve">and clinicians </w:t>
      </w:r>
      <w:r w:rsidR="00B42E07">
        <w:rPr>
          <w:rFonts w:ascii="Times" w:hAnsi="Times"/>
        </w:rPr>
        <w:t>who administer</w:t>
      </w:r>
      <w:r>
        <w:rPr>
          <w:rFonts w:ascii="Times" w:hAnsi="Times"/>
        </w:rPr>
        <w:t xml:space="preserve"> bioagents </w:t>
      </w:r>
      <w:r w:rsidR="00B42E07">
        <w:rPr>
          <w:rFonts w:ascii="Times" w:hAnsi="Times"/>
        </w:rPr>
        <w:t xml:space="preserve">labeled </w:t>
      </w:r>
      <w:r>
        <w:rPr>
          <w:rFonts w:ascii="Times" w:hAnsi="Times"/>
        </w:rPr>
        <w:t xml:space="preserve">as "vaccines" was that pharmaceutical manufacturers would hesitate to develop, produce and distribute </w:t>
      </w:r>
      <w:r w:rsidR="00C0480A">
        <w:rPr>
          <w:rFonts w:ascii="Times" w:hAnsi="Times"/>
        </w:rPr>
        <w:t xml:space="preserve">such products if they faced legal liability for </w:t>
      </w:r>
      <w:r w:rsidR="004A75DC">
        <w:rPr>
          <w:rFonts w:ascii="Times" w:hAnsi="Times"/>
        </w:rPr>
        <w:t>chronic diseases</w:t>
      </w:r>
      <w:r w:rsidR="00C0480A">
        <w:rPr>
          <w:rFonts w:ascii="Times" w:hAnsi="Times"/>
        </w:rPr>
        <w:t>, injuries and deaths caused by use of the products in living human beings.</w:t>
      </w:r>
    </w:p>
    <w:p w14:paraId="74B2116F" w14:textId="70A8C0C5" w:rsidR="00610A2A" w:rsidRDefault="000A06E5" w:rsidP="00B121D5">
      <w:pPr>
        <w:pStyle w:val="NormalWeb"/>
        <w:jc w:val="both"/>
        <w:rPr>
          <w:rFonts w:ascii="Times" w:hAnsi="Times"/>
        </w:rPr>
      </w:pPr>
      <w:r>
        <w:rPr>
          <w:rFonts w:ascii="Times" w:hAnsi="Times"/>
        </w:rPr>
        <w:t>O</w:t>
      </w:r>
      <w:r w:rsidR="00610A2A">
        <w:rPr>
          <w:rFonts w:ascii="Times" w:hAnsi="Times"/>
        </w:rPr>
        <w:t>versight functions written into the National Vaccine Program law purported to establish safety and efficacy protections for consumers (American children</w:t>
      </w:r>
      <w:r w:rsidR="005118DF">
        <w:rPr>
          <w:rFonts w:ascii="Times" w:hAnsi="Times"/>
        </w:rPr>
        <w:t xml:space="preserve"> and </w:t>
      </w:r>
      <w:r w:rsidR="00610A2A">
        <w:rPr>
          <w:rFonts w:ascii="Times" w:hAnsi="Times"/>
        </w:rPr>
        <w:t>their parents) through regulations governing clinical trials</w:t>
      </w:r>
      <w:r w:rsidR="004A75DC">
        <w:rPr>
          <w:rFonts w:ascii="Times" w:hAnsi="Times"/>
        </w:rPr>
        <w:t>;</w:t>
      </w:r>
      <w:r w:rsidR="00610A2A">
        <w:rPr>
          <w:rFonts w:ascii="Times" w:hAnsi="Times"/>
        </w:rPr>
        <w:t xml:space="preserve"> data reporting</w:t>
      </w:r>
      <w:r w:rsidR="004A75DC">
        <w:rPr>
          <w:rFonts w:ascii="Times" w:hAnsi="Times"/>
        </w:rPr>
        <w:t>;</w:t>
      </w:r>
      <w:r w:rsidR="00610A2A">
        <w:rPr>
          <w:rFonts w:ascii="Times" w:hAnsi="Times"/>
        </w:rPr>
        <w:t xml:space="preserve"> </w:t>
      </w:r>
      <w:r w:rsidR="00C0480A">
        <w:rPr>
          <w:rFonts w:ascii="Times" w:hAnsi="Times"/>
        </w:rPr>
        <w:t>manufacturing</w:t>
      </w:r>
      <w:r w:rsidR="004A75DC">
        <w:rPr>
          <w:rFonts w:ascii="Times" w:hAnsi="Times"/>
        </w:rPr>
        <w:t xml:space="preserve"> processes;</w:t>
      </w:r>
      <w:r w:rsidR="00C0480A">
        <w:rPr>
          <w:rFonts w:ascii="Times" w:hAnsi="Times"/>
        </w:rPr>
        <w:t xml:space="preserve"> factory inspection</w:t>
      </w:r>
      <w:r w:rsidR="004A75DC">
        <w:rPr>
          <w:rFonts w:ascii="Times" w:hAnsi="Times"/>
        </w:rPr>
        <w:t>;</w:t>
      </w:r>
      <w:r w:rsidR="00C0480A">
        <w:rPr>
          <w:rFonts w:ascii="Times" w:hAnsi="Times"/>
        </w:rPr>
        <w:t xml:space="preserve"> product testing and </w:t>
      </w:r>
      <w:r w:rsidR="00610A2A">
        <w:rPr>
          <w:rFonts w:ascii="Times" w:hAnsi="Times"/>
        </w:rPr>
        <w:t xml:space="preserve">labelling </w:t>
      </w:r>
      <w:r w:rsidR="004A75DC">
        <w:rPr>
          <w:rFonts w:ascii="Times" w:hAnsi="Times"/>
        </w:rPr>
        <w:t xml:space="preserve">throughout the supply chain </w:t>
      </w:r>
      <w:r w:rsidR="00C0480A">
        <w:rPr>
          <w:rFonts w:ascii="Times" w:hAnsi="Times"/>
        </w:rPr>
        <w:t>prior to distribution</w:t>
      </w:r>
      <w:r w:rsidR="004A75DC">
        <w:rPr>
          <w:rFonts w:ascii="Times" w:hAnsi="Times"/>
        </w:rPr>
        <w:t xml:space="preserve"> through interstate commerce</w:t>
      </w:r>
      <w:r w:rsidR="00C0480A">
        <w:rPr>
          <w:rFonts w:ascii="Times" w:hAnsi="Times"/>
        </w:rPr>
        <w:t>;</w:t>
      </w:r>
      <w:r w:rsidR="00362325">
        <w:rPr>
          <w:rFonts w:ascii="Times" w:hAnsi="Times"/>
        </w:rPr>
        <w:t xml:space="preserve"> dispensing;</w:t>
      </w:r>
      <w:r w:rsidR="00C0480A">
        <w:rPr>
          <w:rFonts w:ascii="Times" w:hAnsi="Times"/>
        </w:rPr>
        <w:t xml:space="preserve"> informed consent at point of injection; </w:t>
      </w:r>
      <w:r w:rsidR="00610A2A">
        <w:rPr>
          <w:rFonts w:ascii="Times" w:hAnsi="Times"/>
        </w:rPr>
        <w:t>and adverse event monitoring, coupled with recall power for advisory committees</w:t>
      </w:r>
      <w:r w:rsidR="00C0480A">
        <w:rPr>
          <w:rFonts w:ascii="Times" w:hAnsi="Times"/>
        </w:rPr>
        <w:t>, after injection</w:t>
      </w:r>
      <w:r w:rsidR="00610A2A">
        <w:rPr>
          <w:rFonts w:ascii="Times" w:hAnsi="Times"/>
        </w:rPr>
        <w:t>.</w:t>
      </w:r>
    </w:p>
    <w:p w14:paraId="6E53D153" w14:textId="14F82CBF" w:rsidR="00610A2A" w:rsidRPr="00307138" w:rsidRDefault="00610A2A" w:rsidP="00307138">
      <w:pPr>
        <w:pStyle w:val="NormalWeb"/>
        <w:jc w:val="both"/>
        <w:rPr>
          <w:rFonts w:ascii="Times" w:hAnsi="Times"/>
        </w:rPr>
      </w:pPr>
      <w:r>
        <w:rPr>
          <w:rFonts w:ascii="Times" w:hAnsi="Times"/>
        </w:rPr>
        <w:t xml:space="preserve">Through the pioneering work of the Informed Consent Action Network </w:t>
      </w:r>
      <w:r w:rsidR="009A26AB">
        <w:rPr>
          <w:rFonts w:ascii="Times" w:hAnsi="Times"/>
        </w:rPr>
        <w:t xml:space="preserve">(ICAN) </w:t>
      </w:r>
      <w:r>
        <w:rPr>
          <w:rFonts w:ascii="Times" w:hAnsi="Times"/>
        </w:rPr>
        <w:t>and Children's Health Defense</w:t>
      </w:r>
      <w:r w:rsidR="009A26AB">
        <w:rPr>
          <w:rFonts w:ascii="Times" w:hAnsi="Times"/>
        </w:rPr>
        <w:t xml:space="preserve"> (CHD)</w:t>
      </w:r>
      <w:r>
        <w:rPr>
          <w:rFonts w:ascii="Times" w:hAnsi="Times"/>
        </w:rPr>
        <w:t>, culminating in a July</w:t>
      </w:r>
      <w:r w:rsidR="00C0480A">
        <w:rPr>
          <w:rFonts w:ascii="Times" w:hAnsi="Times"/>
        </w:rPr>
        <w:t xml:space="preserve"> 9,</w:t>
      </w:r>
      <w:r>
        <w:rPr>
          <w:rFonts w:ascii="Times" w:hAnsi="Times"/>
        </w:rPr>
        <w:t xml:space="preserve"> 2018 </w:t>
      </w:r>
      <w:r w:rsidR="00C0480A">
        <w:rPr>
          <w:rFonts w:ascii="Times" w:hAnsi="Times"/>
        </w:rPr>
        <w:t>stipulation</w:t>
      </w:r>
      <w:r>
        <w:rPr>
          <w:rFonts w:ascii="Times" w:hAnsi="Times"/>
        </w:rPr>
        <w:t>,</w:t>
      </w:r>
      <w:r w:rsidR="00875149">
        <w:rPr>
          <w:rStyle w:val="EndnoteReference"/>
          <w:rFonts w:ascii="Times" w:hAnsi="Times"/>
        </w:rPr>
        <w:endnoteReference w:id="10"/>
      </w:r>
      <w:r>
        <w:rPr>
          <w:rFonts w:ascii="Times" w:hAnsi="Times"/>
        </w:rPr>
        <w:t xml:space="preserve"> Americans have learned that those oversight functions have never been performed by US Government officials, </w:t>
      </w:r>
      <w:r w:rsidR="000A06E5">
        <w:rPr>
          <w:rFonts w:ascii="Times" w:hAnsi="Times"/>
        </w:rPr>
        <w:t>and</w:t>
      </w:r>
      <w:r>
        <w:rPr>
          <w:rFonts w:ascii="Times" w:hAnsi="Times"/>
        </w:rPr>
        <w:t xml:space="preserve"> none of the currently-available "vaccines" </w:t>
      </w:r>
      <w:r w:rsidR="000A06E5">
        <w:rPr>
          <w:rFonts w:ascii="Times" w:hAnsi="Times"/>
        </w:rPr>
        <w:t xml:space="preserve">produced by or for American pharmaceutical companies and </w:t>
      </w:r>
      <w:r>
        <w:rPr>
          <w:rFonts w:ascii="Times" w:hAnsi="Times"/>
        </w:rPr>
        <w:t xml:space="preserve">administered </w:t>
      </w:r>
      <w:r w:rsidR="00C0480A">
        <w:rPr>
          <w:rFonts w:ascii="Times" w:hAnsi="Times"/>
        </w:rPr>
        <w:t xml:space="preserve">to children and adults </w:t>
      </w:r>
      <w:r>
        <w:rPr>
          <w:rFonts w:ascii="Times" w:hAnsi="Times"/>
        </w:rPr>
        <w:t xml:space="preserve">in the United States </w:t>
      </w:r>
      <w:r w:rsidR="000A06E5">
        <w:rPr>
          <w:rFonts w:ascii="Times" w:hAnsi="Times"/>
        </w:rPr>
        <w:t xml:space="preserve">and around the world, </w:t>
      </w:r>
      <w:r>
        <w:rPr>
          <w:rFonts w:ascii="Times" w:hAnsi="Times"/>
        </w:rPr>
        <w:t>can be conclusively demonstrated to be safe or effective.</w:t>
      </w:r>
      <w:r w:rsidR="00307138">
        <w:rPr>
          <w:rFonts w:ascii="Times" w:hAnsi="Times"/>
        </w:rPr>
        <w:t xml:space="preserve"> </w:t>
      </w:r>
      <w:r>
        <w:rPr>
          <w:rFonts w:ascii="Times" w:hAnsi="Times" w:cs="Arial"/>
        </w:rPr>
        <w:t>It is now more widely understood that f</w:t>
      </w:r>
      <w:r w:rsidRPr="00E55D01">
        <w:rPr>
          <w:rFonts w:ascii="Times" w:hAnsi="Times" w:cs="Arial"/>
        </w:rPr>
        <w:t>ederal</w:t>
      </w:r>
      <w:r>
        <w:rPr>
          <w:rFonts w:ascii="Times" w:hAnsi="Times" w:cs="Arial"/>
        </w:rPr>
        <w:t>ly-directed</w:t>
      </w:r>
      <w:r w:rsidRPr="00E55D01">
        <w:rPr>
          <w:rFonts w:ascii="Times" w:hAnsi="Times" w:cs="Arial"/>
        </w:rPr>
        <w:t xml:space="preserve"> </w:t>
      </w:r>
      <w:r w:rsidR="000A06E5">
        <w:rPr>
          <w:rFonts w:ascii="Times" w:hAnsi="Times" w:cs="Arial"/>
        </w:rPr>
        <w:t xml:space="preserve">production </w:t>
      </w:r>
      <w:r w:rsidR="00362325">
        <w:rPr>
          <w:rFonts w:ascii="Times" w:hAnsi="Times" w:cs="Arial"/>
        </w:rPr>
        <w:t xml:space="preserve">and </w:t>
      </w:r>
      <w:r w:rsidRPr="00E55D01">
        <w:rPr>
          <w:rFonts w:ascii="Times" w:hAnsi="Times" w:cs="Arial"/>
        </w:rPr>
        <w:t xml:space="preserve">use of </w:t>
      </w:r>
      <w:r w:rsidR="00C0480A">
        <w:rPr>
          <w:rFonts w:ascii="Times" w:hAnsi="Times" w:cs="Arial"/>
        </w:rPr>
        <w:t xml:space="preserve">the toxic bioagents known as </w:t>
      </w:r>
      <w:r w:rsidRPr="00E55D01">
        <w:rPr>
          <w:rFonts w:ascii="Times" w:hAnsi="Times" w:cs="Arial"/>
        </w:rPr>
        <w:t>"vaccines" to injure, sicken and kill Americans</w:t>
      </w:r>
      <w:r>
        <w:rPr>
          <w:rFonts w:ascii="Times" w:hAnsi="Times" w:cs="Arial"/>
        </w:rPr>
        <w:t>, and provide liability exemption for sponsors, pharmaceutical manufacturers and vaccinators,</w:t>
      </w:r>
      <w:r w:rsidRPr="00E55D01">
        <w:rPr>
          <w:rFonts w:ascii="Times" w:hAnsi="Times" w:cs="Arial"/>
        </w:rPr>
        <w:t xml:space="preserve"> has been</w:t>
      </w:r>
      <w:r w:rsidR="000A06E5">
        <w:rPr>
          <w:rFonts w:ascii="Times" w:hAnsi="Times" w:cs="Arial"/>
        </w:rPr>
        <w:t xml:space="preserve"> domestic and international</w:t>
      </w:r>
      <w:r w:rsidRPr="00E55D01">
        <w:rPr>
          <w:rFonts w:ascii="Times" w:hAnsi="Times" w:cs="Arial"/>
        </w:rPr>
        <w:t xml:space="preserve"> policy and practice </w:t>
      </w:r>
      <w:r>
        <w:rPr>
          <w:rFonts w:ascii="Times" w:hAnsi="Times" w:cs="Arial"/>
        </w:rPr>
        <w:t>since 1986.</w:t>
      </w:r>
    </w:p>
    <w:p w14:paraId="13DC83AA" w14:textId="77777777" w:rsidR="00EB1108" w:rsidRDefault="00610A2A" w:rsidP="000A06E5">
      <w:pPr>
        <w:jc w:val="both"/>
        <w:rPr>
          <w:rFonts w:ascii="Times" w:eastAsiaTheme="minorHAnsi" w:hAnsi="Times" w:cs="Arial"/>
        </w:rPr>
      </w:pPr>
      <w:r>
        <w:rPr>
          <w:rFonts w:ascii="Times" w:eastAsiaTheme="minorHAnsi" w:hAnsi="Times" w:cs="Arial"/>
        </w:rPr>
        <w:t>Key provisions of National Vaccine Program as of December 2022.</w:t>
      </w:r>
      <w:r>
        <w:rPr>
          <w:rStyle w:val="EndnoteReference"/>
          <w:rFonts w:ascii="Times" w:eastAsiaTheme="minorHAnsi" w:hAnsi="Times" w:cs="Arial"/>
        </w:rPr>
        <w:endnoteReference w:id="11"/>
      </w:r>
      <w:r>
        <w:rPr>
          <w:rFonts w:ascii="Times" w:eastAsiaTheme="minorHAnsi" w:hAnsi="Times" w:cs="Arial"/>
        </w:rPr>
        <w:t xml:space="preserve"> </w:t>
      </w:r>
    </w:p>
    <w:p w14:paraId="20923CB0" w14:textId="4B5EEDFB" w:rsidR="00610A2A" w:rsidRPr="000A06E5" w:rsidRDefault="00610A2A" w:rsidP="000A06E5">
      <w:pPr>
        <w:jc w:val="both"/>
        <w:rPr>
          <w:rFonts w:ascii="Times" w:eastAsiaTheme="minorHAnsi" w:hAnsi="Times" w:cs="Arial"/>
        </w:rPr>
      </w:pPr>
      <w:r>
        <w:rPr>
          <w:rFonts w:ascii="Times" w:eastAsiaTheme="minorHAnsi" w:hAnsi="Times" w:cs="Arial"/>
        </w:rPr>
        <w:t>Key provisions of National Vaccine Injury Compensation Program as of December 2022.</w:t>
      </w:r>
      <w:r>
        <w:rPr>
          <w:rStyle w:val="EndnoteReference"/>
          <w:rFonts w:ascii="Times" w:eastAsiaTheme="minorHAnsi" w:hAnsi="Times" w:cs="Arial"/>
        </w:rPr>
        <w:endnoteReference w:id="12"/>
      </w:r>
    </w:p>
    <w:p w14:paraId="252EF632" w14:textId="47ED3E2B" w:rsidR="00610A2A" w:rsidRPr="00610A2A" w:rsidRDefault="00307138" w:rsidP="00B121D5">
      <w:pPr>
        <w:pStyle w:val="NormalWeb"/>
        <w:jc w:val="both"/>
        <w:rPr>
          <w:rFonts w:ascii="Times" w:hAnsi="Times"/>
          <w:i/>
          <w:iCs/>
        </w:rPr>
      </w:pPr>
      <w:r>
        <w:rPr>
          <w:rFonts w:ascii="Times" w:hAnsi="Times"/>
          <w:i/>
          <w:iCs/>
        </w:rPr>
        <w:lastRenderedPageBreak/>
        <w:t xml:space="preserve">1997 - </w:t>
      </w:r>
      <w:r w:rsidR="00610A2A" w:rsidRPr="00610A2A">
        <w:rPr>
          <w:rFonts w:ascii="Times" w:hAnsi="Times"/>
          <w:i/>
          <w:iCs/>
        </w:rPr>
        <w:t>Emergency Use Authorization Program</w:t>
      </w:r>
    </w:p>
    <w:p w14:paraId="15A78FDE" w14:textId="3801DCDE" w:rsidR="008C2767" w:rsidRDefault="008C2767" w:rsidP="008C2767">
      <w:pPr>
        <w:pStyle w:val="NormalWeb"/>
        <w:spacing w:before="0" w:beforeAutospacing="0" w:after="0" w:afterAutospacing="0"/>
        <w:jc w:val="both"/>
        <w:rPr>
          <w:rFonts w:ascii="Times" w:hAnsi="Times" w:cs="Arial"/>
          <w:color w:val="000000"/>
          <w:bdr w:val="none" w:sz="0" w:space="0" w:color="auto" w:frame="1"/>
        </w:rPr>
      </w:pPr>
      <w:r w:rsidRPr="007B6F88">
        <w:rPr>
          <w:rFonts w:ascii="Times" w:hAnsi="Times" w:cs="Arial"/>
          <w:color w:val="000000"/>
          <w:bdr w:val="none" w:sz="0" w:space="0" w:color="auto" w:frame="1"/>
        </w:rPr>
        <w:t xml:space="preserve">Food and Drug Administration drug safety regulation, clinical trial standards, and clinical trials and human </w:t>
      </w:r>
      <w:proofErr w:type="gramStart"/>
      <w:r w:rsidRPr="007B6F88">
        <w:rPr>
          <w:rFonts w:ascii="Times" w:hAnsi="Times" w:cs="Arial"/>
          <w:color w:val="000000"/>
          <w:bdr w:val="none" w:sz="0" w:space="0" w:color="auto" w:frame="1"/>
        </w:rPr>
        <w:t>subjects</w:t>
      </w:r>
      <w:proofErr w:type="gramEnd"/>
      <w:r w:rsidRPr="007B6F88">
        <w:rPr>
          <w:rFonts w:ascii="Times" w:hAnsi="Times" w:cs="Arial"/>
          <w:color w:val="000000"/>
          <w:bdr w:val="none" w:sz="0" w:space="0" w:color="auto" w:frame="1"/>
        </w:rPr>
        <w:t xml:space="preserve"> protection (informed consent) have been corrupted </w:t>
      </w:r>
      <w:r w:rsidR="00F832A3">
        <w:rPr>
          <w:rFonts w:ascii="Times" w:hAnsi="Times" w:cs="Arial"/>
          <w:color w:val="000000"/>
          <w:bdr w:val="none" w:sz="0" w:space="0" w:color="auto" w:frame="1"/>
        </w:rPr>
        <w:t>under Public Health Emergency conditions</w:t>
      </w:r>
      <w:r w:rsidR="009A26AB">
        <w:rPr>
          <w:rFonts w:ascii="Times" w:hAnsi="Times" w:cs="Arial"/>
          <w:color w:val="000000"/>
          <w:bdr w:val="none" w:sz="0" w:space="0" w:color="auto" w:frame="1"/>
        </w:rPr>
        <w:t>,</w:t>
      </w:r>
      <w:r w:rsidR="00F832A3">
        <w:rPr>
          <w:rFonts w:ascii="Times" w:hAnsi="Times" w:cs="Arial"/>
          <w:color w:val="000000"/>
          <w:bdr w:val="none" w:sz="0" w:space="0" w:color="auto" w:frame="1"/>
        </w:rPr>
        <w:t xml:space="preserve"> </w:t>
      </w:r>
      <w:r w:rsidRPr="007B6F88">
        <w:rPr>
          <w:rFonts w:ascii="Times" w:hAnsi="Times" w:cs="Arial"/>
          <w:color w:val="000000"/>
          <w:bdr w:val="none" w:sz="0" w:space="0" w:color="auto" w:frame="1"/>
        </w:rPr>
        <w:t xml:space="preserve">primarily through 21 USC </w:t>
      </w:r>
      <w:r w:rsidRPr="008C2767">
        <w:rPr>
          <w:rFonts w:ascii="Times" w:hAnsi="Times" w:cs="Arial"/>
          <w:color w:val="000000"/>
          <w:bdr w:val="none" w:sz="0" w:space="0" w:color="auto" w:frame="1"/>
        </w:rPr>
        <w:t>360bbb</w:t>
      </w:r>
      <w:r w:rsidR="00F832A3">
        <w:rPr>
          <w:rFonts w:ascii="Times" w:hAnsi="Times" w:cs="Arial"/>
          <w:color w:val="000000"/>
          <w:bdr w:val="none" w:sz="0" w:space="0" w:color="auto" w:frame="1"/>
        </w:rPr>
        <w:t xml:space="preserve">, </w:t>
      </w:r>
      <w:r w:rsidRPr="007B6F88">
        <w:rPr>
          <w:rFonts w:ascii="Times" w:hAnsi="Times" w:cs="Arial"/>
          <w:b/>
          <w:bCs/>
          <w:color w:val="000000"/>
          <w:bdr w:val="none" w:sz="0" w:space="0" w:color="auto" w:frame="1"/>
        </w:rPr>
        <w:t>Expanded access to unapproved therapies and diagnostics,</w:t>
      </w:r>
      <w:r w:rsidRPr="007B6F88">
        <w:rPr>
          <w:rFonts w:ascii="Times" w:hAnsi="Times" w:cs="Arial"/>
          <w:color w:val="000000"/>
          <w:bdr w:val="none" w:sz="0" w:space="0" w:color="auto" w:frame="1"/>
        </w:rPr>
        <w:t xml:space="preserve"> adopted in 1997 and amended and expanded thereafter. </w:t>
      </w:r>
    </w:p>
    <w:p w14:paraId="5846F7DC" w14:textId="77777777" w:rsidR="008C2767" w:rsidRDefault="008C2767" w:rsidP="00B121D5">
      <w:pPr>
        <w:pStyle w:val="NormalWeb"/>
        <w:spacing w:before="0" w:beforeAutospacing="0" w:after="0" w:afterAutospacing="0"/>
        <w:jc w:val="both"/>
        <w:rPr>
          <w:rFonts w:ascii="Times" w:hAnsi="Times"/>
        </w:rPr>
      </w:pPr>
    </w:p>
    <w:p w14:paraId="359FA650" w14:textId="13AADA7E" w:rsidR="008740E8" w:rsidRDefault="008C2767" w:rsidP="008C2767">
      <w:pPr>
        <w:pStyle w:val="NormalWeb"/>
        <w:spacing w:before="0" w:beforeAutospacing="0" w:after="0" w:afterAutospacing="0"/>
        <w:jc w:val="both"/>
        <w:rPr>
          <w:rFonts w:ascii="Times" w:hAnsi="Times"/>
        </w:rPr>
      </w:pPr>
      <w:r>
        <w:rPr>
          <w:rFonts w:ascii="Times" w:hAnsi="Times"/>
        </w:rPr>
        <w:t>The 2004 Project Bioshield Act amendments codified at 21 USC 360bbb-3</w:t>
      </w:r>
      <w:r w:rsidR="00123599">
        <w:rPr>
          <w:rFonts w:ascii="Times" w:hAnsi="Times"/>
        </w:rPr>
        <w:t xml:space="preserve">, </w:t>
      </w:r>
      <w:r w:rsidR="00123599" w:rsidRPr="00123599">
        <w:rPr>
          <w:rFonts w:ascii="Times" w:hAnsi="Times"/>
        </w:rPr>
        <w:t>Authorization for medical products for use in emergencies,</w:t>
      </w:r>
      <w:r>
        <w:rPr>
          <w:rFonts w:ascii="Times" w:hAnsi="Times"/>
        </w:rPr>
        <w:t xml:space="preserve"> </w:t>
      </w:r>
      <w:r w:rsidR="00123599">
        <w:rPr>
          <w:rFonts w:ascii="Times" w:hAnsi="Times"/>
        </w:rPr>
        <w:t xml:space="preserve">commonly known </w:t>
      </w:r>
      <w:r>
        <w:rPr>
          <w:rFonts w:ascii="Times" w:hAnsi="Times"/>
        </w:rPr>
        <w:t xml:space="preserve">as the </w:t>
      </w:r>
      <w:r w:rsidRPr="008C2767">
        <w:rPr>
          <w:rFonts w:ascii="Times" w:hAnsi="Times"/>
          <w:b/>
          <w:bCs/>
        </w:rPr>
        <w:t>Emergency Use Authorization</w:t>
      </w:r>
      <w:r w:rsidR="00123599">
        <w:rPr>
          <w:rFonts w:ascii="Times" w:hAnsi="Times"/>
          <w:b/>
          <w:bCs/>
        </w:rPr>
        <w:t xml:space="preserve"> (EUA)</w:t>
      </w:r>
      <w:r w:rsidRPr="008C2767">
        <w:rPr>
          <w:rFonts w:ascii="Times" w:hAnsi="Times"/>
          <w:b/>
          <w:bCs/>
        </w:rPr>
        <w:t xml:space="preserve"> </w:t>
      </w:r>
      <w:r w:rsidR="00362325">
        <w:rPr>
          <w:rFonts w:ascii="Times" w:hAnsi="Times"/>
          <w:b/>
          <w:bCs/>
        </w:rPr>
        <w:t>p</w:t>
      </w:r>
      <w:r w:rsidRPr="008C2767">
        <w:rPr>
          <w:rFonts w:ascii="Times" w:hAnsi="Times"/>
          <w:b/>
          <w:bCs/>
        </w:rPr>
        <w:t>rogram</w:t>
      </w:r>
      <w:r w:rsidR="00123599">
        <w:rPr>
          <w:rFonts w:ascii="Times" w:hAnsi="Times"/>
          <w:b/>
          <w:bCs/>
        </w:rPr>
        <w:t>,</w:t>
      </w:r>
      <w:r>
        <w:rPr>
          <w:rFonts w:ascii="Times" w:hAnsi="Times"/>
        </w:rPr>
        <w:t xml:space="preserve"> </w:t>
      </w:r>
      <w:r w:rsidR="000A06E5">
        <w:rPr>
          <w:rFonts w:ascii="Times" w:hAnsi="Times"/>
        </w:rPr>
        <w:t>represent the</w:t>
      </w:r>
      <w:r>
        <w:rPr>
          <w:rFonts w:ascii="Times" w:hAnsi="Times"/>
        </w:rPr>
        <w:t xml:space="preserve"> key expansion that apparently enabled the Covid-19 </w:t>
      </w:r>
      <w:r w:rsidR="005118DF">
        <w:rPr>
          <w:rFonts w:ascii="Times" w:hAnsi="Times"/>
        </w:rPr>
        <w:t>"</w:t>
      </w:r>
      <w:r>
        <w:rPr>
          <w:rFonts w:ascii="Times" w:hAnsi="Times"/>
        </w:rPr>
        <w:t>vaccine</w:t>
      </w:r>
      <w:r w:rsidR="005118DF">
        <w:rPr>
          <w:rFonts w:ascii="Times" w:hAnsi="Times"/>
        </w:rPr>
        <w:t>"</w:t>
      </w:r>
      <w:r>
        <w:rPr>
          <w:rFonts w:ascii="Times" w:hAnsi="Times"/>
        </w:rPr>
        <w:t xml:space="preserve"> bioagent attack on the American people. </w:t>
      </w:r>
    </w:p>
    <w:p w14:paraId="48BC1A69" w14:textId="77777777" w:rsidR="008740E8" w:rsidRDefault="008740E8" w:rsidP="00B121D5">
      <w:pPr>
        <w:pStyle w:val="NormalWeb"/>
        <w:spacing w:before="0" w:beforeAutospacing="0" w:after="0" w:afterAutospacing="0"/>
        <w:jc w:val="both"/>
        <w:rPr>
          <w:rFonts w:ascii="Times" w:hAnsi="Times"/>
        </w:rPr>
      </w:pPr>
    </w:p>
    <w:p w14:paraId="734E15B1" w14:textId="0E4DB8FB" w:rsidR="000A06E5" w:rsidRDefault="000A06E5" w:rsidP="00B121D5">
      <w:pPr>
        <w:pStyle w:val="NormalWeb"/>
        <w:spacing w:before="0" w:beforeAutospacing="0" w:after="0" w:afterAutospacing="0"/>
        <w:jc w:val="both"/>
        <w:rPr>
          <w:rFonts w:ascii="Times" w:hAnsi="Times"/>
        </w:rPr>
      </w:pPr>
      <w:r>
        <w:rPr>
          <w:rFonts w:ascii="Times" w:hAnsi="Times"/>
        </w:rPr>
        <w:t>As summarized below under the "Case Study" heading, t</w:t>
      </w:r>
      <w:r w:rsidR="008740E8">
        <w:rPr>
          <w:rFonts w:ascii="Times" w:hAnsi="Times"/>
        </w:rPr>
        <w:t xml:space="preserve">he EUA </w:t>
      </w:r>
      <w:r w:rsidR="00123599">
        <w:rPr>
          <w:rFonts w:ascii="Times" w:hAnsi="Times"/>
        </w:rPr>
        <w:t>Program</w:t>
      </w:r>
      <w:r w:rsidR="008740E8">
        <w:rPr>
          <w:rFonts w:ascii="Times" w:hAnsi="Times"/>
        </w:rPr>
        <w:t xml:space="preserve"> appears</w:t>
      </w:r>
      <w:r w:rsidR="00D5101C">
        <w:rPr>
          <w:rFonts w:ascii="Times" w:hAnsi="Times"/>
        </w:rPr>
        <w:t xml:space="preserve"> to have authorized </w:t>
      </w:r>
      <w:r w:rsidR="005242DA">
        <w:rPr>
          <w:rFonts w:ascii="Times" w:hAnsi="Times"/>
        </w:rPr>
        <w:t xml:space="preserve">the HHS Secretary, at his or her sole discretion, to </w:t>
      </w:r>
      <w:r>
        <w:rPr>
          <w:rFonts w:ascii="Times" w:hAnsi="Times"/>
        </w:rPr>
        <w:t xml:space="preserve">knowingly and deliberately </w:t>
      </w:r>
      <w:r w:rsidR="005242DA">
        <w:rPr>
          <w:rFonts w:ascii="Times" w:hAnsi="Times"/>
        </w:rPr>
        <w:t>suspend ordinary federal drug safety regulation</w:t>
      </w:r>
      <w:r>
        <w:rPr>
          <w:rStyle w:val="EndnoteReference"/>
          <w:rFonts w:ascii="Times" w:hAnsi="Times"/>
        </w:rPr>
        <w:endnoteReference w:id="13"/>
      </w:r>
      <w:r w:rsidR="005242DA">
        <w:rPr>
          <w:rFonts w:ascii="Times" w:hAnsi="Times"/>
        </w:rPr>
        <w:t xml:space="preserve"> </w:t>
      </w:r>
      <w:r>
        <w:rPr>
          <w:rFonts w:ascii="Times" w:hAnsi="Times"/>
        </w:rPr>
        <w:t xml:space="preserve">for the duration of any "public health emergency" as determined and extended by the HHS Secretary at his or her sole discretion, </w:t>
      </w:r>
      <w:r w:rsidR="005242DA">
        <w:rPr>
          <w:rFonts w:ascii="Times" w:hAnsi="Times"/>
        </w:rPr>
        <w:t>including</w:t>
      </w:r>
      <w:r>
        <w:rPr>
          <w:rFonts w:ascii="Times" w:hAnsi="Times"/>
        </w:rPr>
        <w:t xml:space="preserve"> but not limited to:</w:t>
      </w:r>
    </w:p>
    <w:p w14:paraId="15A3288E" w14:textId="77777777" w:rsidR="000A06E5" w:rsidRDefault="000A06E5" w:rsidP="00B121D5">
      <w:pPr>
        <w:pStyle w:val="NormalWeb"/>
        <w:spacing w:before="0" w:beforeAutospacing="0" w:after="0" w:afterAutospacing="0"/>
        <w:jc w:val="both"/>
        <w:rPr>
          <w:rFonts w:ascii="Times" w:hAnsi="Times"/>
        </w:rPr>
      </w:pPr>
    </w:p>
    <w:p w14:paraId="2F578FCD" w14:textId="77777777" w:rsidR="000A06E5" w:rsidRDefault="000A06E5" w:rsidP="000A06E5">
      <w:pPr>
        <w:pStyle w:val="NormalWeb"/>
        <w:numPr>
          <w:ilvl w:val="0"/>
          <w:numId w:val="18"/>
        </w:numPr>
        <w:spacing w:before="0" w:beforeAutospacing="0" w:after="0" w:afterAutospacing="0"/>
        <w:jc w:val="both"/>
        <w:rPr>
          <w:rFonts w:ascii="Times" w:hAnsi="Times"/>
        </w:rPr>
      </w:pPr>
      <w:r>
        <w:rPr>
          <w:rFonts w:ascii="Times" w:hAnsi="Times"/>
        </w:rPr>
        <w:t xml:space="preserve">non-clinical, pre-clinical and </w:t>
      </w:r>
      <w:r w:rsidR="005242DA">
        <w:rPr>
          <w:rFonts w:ascii="Times" w:hAnsi="Times"/>
        </w:rPr>
        <w:t xml:space="preserve">clinical trial standards </w:t>
      </w:r>
    </w:p>
    <w:p w14:paraId="4D347880" w14:textId="34D41DC8" w:rsidR="000A06E5" w:rsidRDefault="005242DA" w:rsidP="000A06E5">
      <w:pPr>
        <w:pStyle w:val="NormalWeb"/>
        <w:numPr>
          <w:ilvl w:val="0"/>
          <w:numId w:val="18"/>
        </w:numPr>
        <w:spacing w:before="0" w:beforeAutospacing="0" w:after="0" w:afterAutospacing="0"/>
        <w:jc w:val="both"/>
        <w:rPr>
          <w:rFonts w:ascii="Times" w:hAnsi="Times"/>
        </w:rPr>
      </w:pPr>
      <w:r>
        <w:rPr>
          <w:rFonts w:ascii="Times" w:hAnsi="Times"/>
        </w:rPr>
        <w:t>data collection</w:t>
      </w:r>
    </w:p>
    <w:p w14:paraId="70FF95D9" w14:textId="77777777" w:rsidR="000A06E5" w:rsidRDefault="00123599" w:rsidP="000A06E5">
      <w:pPr>
        <w:pStyle w:val="NormalWeb"/>
        <w:numPr>
          <w:ilvl w:val="0"/>
          <w:numId w:val="18"/>
        </w:numPr>
        <w:spacing w:before="0" w:beforeAutospacing="0" w:after="0" w:afterAutospacing="0"/>
        <w:jc w:val="both"/>
        <w:rPr>
          <w:rFonts w:ascii="Times" w:hAnsi="Times"/>
        </w:rPr>
      </w:pPr>
      <w:r>
        <w:rPr>
          <w:rFonts w:ascii="Times" w:hAnsi="Times"/>
        </w:rPr>
        <w:t>regulatory review procedures</w:t>
      </w:r>
      <w:r w:rsidR="005242DA">
        <w:rPr>
          <w:rFonts w:ascii="Times" w:hAnsi="Times"/>
        </w:rPr>
        <w:t xml:space="preserve"> </w:t>
      </w:r>
    </w:p>
    <w:p w14:paraId="18248D63" w14:textId="488E1052" w:rsidR="000A06E5" w:rsidRDefault="005242DA" w:rsidP="000A06E5">
      <w:pPr>
        <w:pStyle w:val="NormalWeb"/>
        <w:numPr>
          <w:ilvl w:val="0"/>
          <w:numId w:val="18"/>
        </w:numPr>
        <w:spacing w:before="0" w:beforeAutospacing="0" w:after="0" w:afterAutospacing="0"/>
        <w:jc w:val="both"/>
        <w:rPr>
          <w:rFonts w:ascii="Times" w:hAnsi="Times"/>
        </w:rPr>
      </w:pPr>
      <w:r>
        <w:rPr>
          <w:rFonts w:ascii="Times" w:hAnsi="Times"/>
        </w:rPr>
        <w:t>raw material</w:t>
      </w:r>
      <w:r w:rsidR="00C3665B">
        <w:rPr>
          <w:rFonts w:ascii="Times" w:hAnsi="Times"/>
        </w:rPr>
        <w:t>, manufacturing process</w:t>
      </w:r>
      <w:r>
        <w:rPr>
          <w:rFonts w:ascii="Times" w:hAnsi="Times"/>
        </w:rPr>
        <w:t xml:space="preserve"> and product testing standards</w:t>
      </w:r>
    </w:p>
    <w:p w14:paraId="4D50C3A4" w14:textId="77777777" w:rsidR="000A06E5" w:rsidRDefault="005242DA" w:rsidP="000A06E5">
      <w:pPr>
        <w:pStyle w:val="NormalWeb"/>
        <w:numPr>
          <w:ilvl w:val="0"/>
          <w:numId w:val="18"/>
        </w:numPr>
        <w:spacing w:before="0" w:beforeAutospacing="0" w:after="0" w:afterAutospacing="0"/>
        <w:jc w:val="both"/>
        <w:rPr>
          <w:rFonts w:ascii="Times" w:hAnsi="Times"/>
        </w:rPr>
      </w:pPr>
      <w:r>
        <w:rPr>
          <w:rFonts w:ascii="Times" w:hAnsi="Times"/>
        </w:rPr>
        <w:t>product labeling and serialization</w:t>
      </w:r>
    </w:p>
    <w:p w14:paraId="2E6E38A8" w14:textId="77777777" w:rsidR="000A06E5" w:rsidRDefault="000A06E5" w:rsidP="000A06E5">
      <w:pPr>
        <w:pStyle w:val="NormalWeb"/>
        <w:numPr>
          <w:ilvl w:val="0"/>
          <w:numId w:val="18"/>
        </w:numPr>
        <w:spacing w:before="0" w:beforeAutospacing="0" w:after="0" w:afterAutospacing="0"/>
        <w:jc w:val="both"/>
        <w:rPr>
          <w:rFonts w:ascii="Times" w:hAnsi="Times"/>
        </w:rPr>
      </w:pPr>
      <w:r>
        <w:rPr>
          <w:rFonts w:ascii="Times" w:hAnsi="Times"/>
        </w:rPr>
        <w:t>product distribution and storage standards</w:t>
      </w:r>
    </w:p>
    <w:p w14:paraId="558042D9" w14:textId="77777777" w:rsidR="000A06E5" w:rsidRDefault="00C0480A" w:rsidP="000A06E5">
      <w:pPr>
        <w:pStyle w:val="NormalWeb"/>
        <w:numPr>
          <w:ilvl w:val="0"/>
          <w:numId w:val="18"/>
        </w:numPr>
        <w:spacing w:before="0" w:beforeAutospacing="0" w:after="0" w:afterAutospacing="0"/>
        <w:jc w:val="both"/>
        <w:rPr>
          <w:rFonts w:ascii="Times" w:hAnsi="Times"/>
        </w:rPr>
      </w:pPr>
      <w:r>
        <w:rPr>
          <w:rFonts w:ascii="Times" w:hAnsi="Times"/>
        </w:rPr>
        <w:t>advertising and marketing standards</w:t>
      </w:r>
    </w:p>
    <w:p w14:paraId="3491530D" w14:textId="51F1B71A" w:rsidR="000A06E5" w:rsidRDefault="000A06E5" w:rsidP="000A06E5">
      <w:pPr>
        <w:pStyle w:val="NormalWeb"/>
        <w:numPr>
          <w:ilvl w:val="0"/>
          <w:numId w:val="18"/>
        </w:numPr>
        <w:spacing w:before="0" w:beforeAutospacing="0" w:after="0" w:afterAutospacing="0"/>
        <w:jc w:val="both"/>
        <w:rPr>
          <w:rFonts w:ascii="Times" w:hAnsi="Times"/>
        </w:rPr>
      </w:pPr>
      <w:r>
        <w:rPr>
          <w:rFonts w:ascii="Times" w:hAnsi="Times"/>
        </w:rPr>
        <w:t>physician prescription requirements</w:t>
      </w:r>
    </w:p>
    <w:p w14:paraId="410A4646" w14:textId="4CE1758B" w:rsidR="005179AA" w:rsidRDefault="005179AA" w:rsidP="000A06E5">
      <w:pPr>
        <w:pStyle w:val="NormalWeb"/>
        <w:numPr>
          <w:ilvl w:val="0"/>
          <w:numId w:val="18"/>
        </w:numPr>
        <w:spacing w:before="0" w:beforeAutospacing="0" w:after="0" w:afterAutospacing="0"/>
        <w:jc w:val="both"/>
        <w:rPr>
          <w:rFonts w:ascii="Times" w:hAnsi="Times"/>
        </w:rPr>
      </w:pPr>
      <w:r>
        <w:rPr>
          <w:rFonts w:ascii="Times" w:hAnsi="Times"/>
        </w:rPr>
        <w:t>product dispensing</w:t>
      </w:r>
    </w:p>
    <w:p w14:paraId="462BF9DB" w14:textId="77777777" w:rsidR="000A06E5" w:rsidRPr="000A06E5" w:rsidRDefault="000A06E5" w:rsidP="000A06E5">
      <w:pPr>
        <w:pStyle w:val="NormalWeb"/>
        <w:numPr>
          <w:ilvl w:val="0"/>
          <w:numId w:val="18"/>
        </w:numPr>
        <w:spacing w:before="0" w:beforeAutospacing="0" w:after="0" w:afterAutospacing="0"/>
        <w:jc w:val="both"/>
        <w:rPr>
          <w:rFonts w:ascii="Times" w:hAnsi="Times"/>
        </w:rPr>
      </w:pPr>
      <w:r>
        <w:rPr>
          <w:rFonts w:ascii="Times" w:hAnsi="Times"/>
        </w:rPr>
        <w:t>informed consent obligations on investigators and rights for individual human recipients;</w:t>
      </w:r>
    </w:p>
    <w:p w14:paraId="201D2220" w14:textId="77777777" w:rsidR="000A06E5" w:rsidRDefault="00123599" w:rsidP="000A06E5">
      <w:pPr>
        <w:pStyle w:val="NormalWeb"/>
        <w:numPr>
          <w:ilvl w:val="0"/>
          <w:numId w:val="18"/>
        </w:numPr>
        <w:spacing w:before="0" w:beforeAutospacing="0" w:after="0" w:afterAutospacing="0"/>
        <w:jc w:val="both"/>
        <w:rPr>
          <w:rFonts w:ascii="Times" w:hAnsi="Times"/>
        </w:rPr>
      </w:pPr>
      <w:r>
        <w:rPr>
          <w:rFonts w:ascii="Times" w:hAnsi="Times"/>
        </w:rPr>
        <w:t>adverse effect monitoring</w:t>
      </w:r>
      <w:r w:rsidR="000A06E5">
        <w:rPr>
          <w:rFonts w:ascii="Times" w:hAnsi="Times"/>
        </w:rPr>
        <w:t xml:space="preserve"> and reporting</w:t>
      </w:r>
    </w:p>
    <w:p w14:paraId="18B2D7C1" w14:textId="77777777" w:rsidR="00E55D01" w:rsidRPr="000A06E5" w:rsidRDefault="00123599" w:rsidP="000A06E5">
      <w:pPr>
        <w:pStyle w:val="NormalWeb"/>
        <w:numPr>
          <w:ilvl w:val="0"/>
          <w:numId w:val="18"/>
        </w:numPr>
        <w:spacing w:before="0" w:beforeAutospacing="0" w:after="0" w:afterAutospacing="0"/>
        <w:jc w:val="both"/>
        <w:rPr>
          <w:rFonts w:ascii="Times" w:hAnsi="Times"/>
        </w:rPr>
      </w:pPr>
      <w:r>
        <w:rPr>
          <w:rFonts w:ascii="Times" w:hAnsi="Times"/>
        </w:rPr>
        <w:t xml:space="preserve">product </w:t>
      </w:r>
      <w:r w:rsidR="000A06E5">
        <w:rPr>
          <w:rFonts w:ascii="Times" w:hAnsi="Times"/>
        </w:rPr>
        <w:t xml:space="preserve">safety enforcement and </w:t>
      </w:r>
      <w:r>
        <w:rPr>
          <w:rFonts w:ascii="Times" w:hAnsi="Times"/>
        </w:rPr>
        <w:t>recall provisions</w:t>
      </w:r>
    </w:p>
    <w:p w14:paraId="200BCE73" w14:textId="77777777" w:rsidR="00440D26" w:rsidRDefault="00440D26" w:rsidP="00440D26">
      <w:pPr>
        <w:pStyle w:val="NormalWeb"/>
        <w:spacing w:before="0" w:beforeAutospacing="0" w:after="0" w:afterAutospacing="0"/>
        <w:jc w:val="both"/>
        <w:rPr>
          <w:rFonts w:ascii="Times" w:hAnsi="Times" w:cs="Arial"/>
          <w:color w:val="000000"/>
          <w:bdr w:val="none" w:sz="0" w:space="0" w:color="auto" w:frame="1"/>
        </w:rPr>
      </w:pPr>
    </w:p>
    <w:p w14:paraId="7FFBC241" w14:textId="7685EDCF" w:rsidR="00440D26" w:rsidRDefault="00440D26" w:rsidP="00440D26">
      <w:pPr>
        <w:pStyle w:val="NormalWeb"/>
        <w:spacing w:before="0" w:beforeAutospacing="0" w:after="0" w:afterAutospacing="0"/>
        <w:jc w:val="both"/>
        <w:rPr>
          <w:rFonts w:ascii="Times" w:hAnsi="Times" w:cs="Arial"/>
          <w:color w:val="000000"/>
          <w:bdr w:val="none" w:sz="0" w:space="0" w:color="auto" w:frame="1"/>
        </w:rPr>
      </w:pPr>
      <w:r>
        <w:rPr>
          <w:rFonts w:ascii="Times" w:hAnsi="Times" w:cs="Arial"/>
          <w:color w:val="000000"/>
          <w:bdr w:val="none" w:sz="0" w:space="0" w:color="auto" w:frame="1"/>
        </w:rPr>
        <w:t>In a related Congressional act in 1998</w:t>
      </w:r>
      <w:r w:rsidR="005179AA">
        <w:rPr>
          <w:rFonts w:ascii="Times" w:hAnsi="Times" w:cs="Arial"/>
          <w:color w:val="000000"/>
          <w:bdr w:val="none" w:sz="0" w:space="0" w:color="auto" w:frame="1"/>
        </w:rPr>
        <w:t xml:space="preserve"> (</w:t>
      </w:r>
      <w:r w:rsidR="005179AA" w:rsidRPr="005179AA">
        <w:rPr>
          <w:rFonts w:ascii="Times" w:hAnsi="Times" w:cs="Arial"/>
          <w:color w:val="000000"/>
          <w:bdr w:val="none" w:sz="0" w:space="0" w:color="auto" w:frame="1"/>
        </w:rPr>
        <w:t>PL 105-277</w:t>
      </w:r>
      <w:r w:rsidR="005179AA">
        <w:rPr>
          <w:rFonts w:ascii="Times" w:hAnsi="Times" w:cs="Arial"/>
          <w:color w:val="000000"/>
          <w:bdr w:val="none" w:sz="0" w:space="0" w:color="auto" w:frame="1"/>
        </w:rPr>
        <w:t>)</w:t>
      </w:r>
      <w:r>
        <w:rPr>
          <w:rFonts w:ascii="Times" w:hAnsi="Times" w:cs="Arial"/>
          <w:color w:val="000000"/>
          <w:bdr w:val="none" w:sz="0" w:space="0" w:color="auto" w:frame="1"/>
        </w:rPr>
        <w:t>, Congress apparently converted the status of the DOD's chemical and biological weapons stockpile</w:t>
      </w:r>
      <w:r w:rsidR="00EB1108">
        <w:rPr>
          <w:rFonts w:ascii="Times" w:hAnsi="Times" w:cs="Arial"/>
          <w:color w:val="000000"/>
          <w:bdr w:val="none" w:sz="0" w:space="0" w:color="auto" w:frame="1"/>
        </w:rPr>
        <w:t xml:space="preserve"> – </w:t>
      </w:r>
      <w:r>
        <w:rPr>
          <w:rFonts w:ascii="Times" w:hAnsi="Times" w:cs="Arial"/>
          <w:color w:val="000000"/>
          <w:bdr w:val="none" w:sz="0" w:space="0" w:color="auto" w:frame="1"/>
        </w:rPr>
        <w:t xml:space="preserve">which was illegal under the terms of the UN </w:t>
      </w:r>
      <w:r w:rsidR="00307138" w:rsidRPr="00307138">
        <w:rPr>
          <w:rFonts w:ascii="Times" w:hAnsi="Times" w:cs="Arial"/>
          <w:color w:val="000000"/>
          <w:bdr w:val="none" w:sz="0" w:space="0" w:color="auto" w:frame="1"/>
        </w:rPr>
        <w:t>Convention on the Prohibition of the Development, Production and Stockpiling of Bacteriological (Biological) and Toxin Weapons and on their Destruction</w:t>
      </w:r>
      <w:r w:rsidR="00EB1108">
        <w:rPr>
          <w:rFonts w:ascii="Times" w:hAnsi="Times" w:cs="Arial"/>
          <w:color w:val="000000"/>
          <w:bdr w:val="none" w:sz="0" w:space="0" w:color="auto" w:frame="1"/>
        </w:rPr>
        <w:t>,</w:t>
      </w:r>
      <w:r w:rsidR="005179AA">
        <w:rPr>
          <w:rFonts w:ascii="Times" w:hAnsi="Times" w:cs="Arial"/>
          <w:color w:val="000000"/>
          <w:bdr w:val="none" w:sz="0" w:space="0" w:color="auto" w:frame="1"/>
        </w:rPr>
        <w:t xml:space="preserve"> </w:t>
      </w:r>
      <w:r>
        <w:rPr>
          <w:rFonts w:ascii="Times" w:hAnsi="Times" w:cs="Arial"/>
          <w:color w:val="000000"/>
          <w:bdr w:val="none" w:sz="0" w:space="0" w:color="auto" w:frame="1"/>
        </w:rPr>
        <w:t xml:space="preserve">as </w:t>
      </w:r>
      <w:r w:rsidR="00307138">
        <w:rPr>
          <w:rFonts w:ascii="Times" w:hAnsi="Times" w:cs="Arial"/>
          <w:color w:val="000000"/>
          <w:bdr w:val="none" w:sz="0" w:space="0" w:color="auto" w:frame="1"/>
        </w:rPr>
        <w:t>codified in a different section of</w:t>
      </w:r>
      <w:r>
        <w:rPr>
          <w:rFonts w:ascii="Times" w:hAnsi="Times" w:cs="Arial"/>
          <w:color w:val="000000"/>
          <w:bdr w:val="none" w:sz="0" w:space="0" w:color="auto" w:frame="1"/>
        </w:rPr>
        <w:t xml:space="preserve"> the same Congressional act</w:t>
      </w:r>
      <w:r w:rsidR="00EB1108">
        <w:rPr>
          <w:rFonts w:ascii="Times" w:hAnsi="Times" w:cs="Arial"/>
          <w:color w:val="000000"/>
          <w:bdr w:val="none" w:sz="0" w:space="0" w:color="auto" w:frame="1"/>
        </w:rPr>
        <w:t xml:space="preserve"> – i</w:t>
      </w:r>
      <w:r>
        <w:rPr>
          <w:rFonts w:ascii="Times" w:hAnsi="Times" w:cs="Arial"/>
          <w:color w:val="000000"/>
          <w:bdr w:val="none" w:sz="0" w:space="0" w:color="auto" w:frame="1"/>
        </w:rPr>
        <w:t xml:space="preserve">nto </w:t>
      </w:r>
      <w:r w:rsidR="008C2767">
        <w:rPr>
          <w:rFonts w:ascii="Times" w:hAnsi="Times" w:cs="Arial"/>
          <w:color w:val="000000"/>
          <w:bdr w:val="none" w:sz="0" w:space="0" w:color="auto" w:frame="1"/>
        </w:rPr>
        <w:t>an apparentl</w:t>
      </w:r>
      <w:r w:rsidR="00EB1108">
        <w:rPr>
          <w:rFonts w:ascii="Times" w:hAnsi="Times" w:cs="Arial"/>
          <w:color w:val="000000"/>
          <w:bdr w:val="none" w:sz="0" w:space="0" w:color="auto" w:frame="1"/>
        </w:rPr>
        <w:t>y</w:t>
      </w:r>
      <w:r w:rsidR="008C2767">
        <w:rPr>
          <w:rFonts w:ascii="Times" w:hAnsi="Times" w:cs="Arial"/>
          <w:color w:val="000000"/>
          <w:bdr w:val="none" w:sz="0" w:space="0" w:color="auto" w:frame="1"/>
        </w:rPr>
        <w:t xml:space="preserve"> legal "National Pharmaceutical Stockpile," later renamed the Strategic National Stockpile</w:t>
      </w:r>
      <w:r w:rsidR="00307138">
        <w:rPr>
          <w:rFonts w:ascii="Times" w:hAnsi="Times" w:cs="Arial"/>
          <w:color w:val="000000"/>
          <w:bdr w:val="none" w:sz="0" w:space="0" w:color="auto" w:frame="1"/>
        </w:rPr>
        <w:t xml:space="preserve">. </w:t>
      </w:r>
      <w:r w:rsidR="00EB1108">
        <w:rPr>
          <w:rFonts w:ascii="Times" w:hAnsi="Times" w:cs="Arial"/>
          <w:color w:val="000000"/>
          <w:bdr w:val="none" w:sz="0" w:space="0" w:color="auto" w:frame="1"/>
        </w:rPr>
        <w:t xml:space="preserve"> </w:t>
      </w:r>
      <w:r w:rsidR="00307138">
        <w:rPr>
          <w:rFonts w:ascii="Times" w:hAnsi="Times" w:cs="Arial"/>
          <w:color w:val="000000"/>
          <w:bdr w:val="none" w:sz="0" w:space="0" w:color="auto" w:frame="1"/>
        </w:rPr>
        <w:t>The 19</w:t>
      </w:r>
      <w:r w:rsidR="005179AA">
        <w:rPr>
          <w:rFonts w:ascii="Times" w:hAnsi="Times" w:cs="Arial"/>
          <w:color w:val="000000"/>
          <w:bdr w:val="none" w:sz="0" w:space="0" w:color="auto" w:frame="1"/>
        </w:rPr>
        <w:t>98</w:t>
      </w:r>
      <w:r w:rsidR="00307138">
        <w:rPr>
          <w:rFonts w:ascii="Times" w:hAnsi="Times" w:cs="Arial"/>
          <w:color w:val="000000"/>
          <w:bdr w:val="none" w:sz="0" w:space="0" w:color="auto" w:frame="1"/>
        </w:rPr>
        <w:t xml:space="preserve"> Congressional act also</w:t>
      </w:r>
      <w:r w:rsidR="008C2767">
        <w:rPr>
          <w:rFonts w:ascii="Times" w:hAnsi="Times" w:cs="Arial"/>
          <w:color w:val="000000"/>
          <w:bdr w:val="none" w:sz="0" w:space="0" w:color="auto" w:frame="1"/>
        </w:rPr>
        <w:t xml:space="preserve"> transferred management of the products</w:t>
      </w:r>
      <w:r w:rsidR="00307138">
        <w:rPr>
          <w:rFonts w:ascii="Times" w:hAnsi="Times" w:cs="Arial"/>
          <w:color w:val="000000"/>
          <w:bdr w:val="none" w:sz="0" w:space="0" w:color="auto" w:frame="1"/>
        </w:rPr>
        <w:t>,</w:t>
      </w:r>
      <w:r w:rsidR="008C2767">
        <w:rPr>
          <w:rFonts w:ascii="Times" w:hAnsi="Times" w:cs="Arial"/>
          <w:color w:val="000000"/>
          <w:bdr w:val="none" w:sz="0" w:space="0" w:color="auto" w:frame="1"/>
        </w:rPr>
        <w:t xml:space="preserve"> now called "medical countermeasures</w:t>
      </w:r>
      <w:r w:rsidR="00307138">
        <w:rPr>
          <w:rFonts w:ascii="Times" w:hAnsi="Times" w:cs="Arial"/>
          <w:color w:val="000000"/>
          <w:bdr w:val="none" w:sz="0" w:space="0" w:color="auto" w:frame="1"/>
        </w:rPr>
        <w:t>,</w:t>
      </w:r>
      <w:r w:rsidR="008C2767">
        <w:rPr>
          <w:rFonts w:ascii="Times" w:hAnsi="Times" w:cs="Arial"/>
          <w:color w:val="000000"/>
          <w:bdr w:val="none" w:sz="0" w:space="0" w:color="auto" w:frame="1"/>
        </w:rPr>
        <w:t>" to the CDC operating under HHS direction.</w:t>
      </w:r>
    </w:p>
    <w:p w14:paraId="78582574" w14:textId="77777777" w:rsidR="00440D26" w:rsidRDefault="00440D26" w:rsidP="00440D26">
      <w:pPr>
        <w:pStyle w:val="NormalWeb"/>
        <w:spacing w:before="0" w:beforeAutospacing="0" w:after="0" w:afterAutospacing="0"/>
        <w:jc w:val="both"/>
        <w:rPr>
          <w:rFonts w:ascii="Times" w:hAnsi="Times" w:cs="Arial"/>
          <w:color w:val="000000"/>
          <w:bdr w:val="none" w:sz="0" w:space="0" w:color="auto" w:frame="1"/>
        </w:rPr>
      </w:pPr>
    </w:p>
    <w:p w14:paraId="68A1DE6E" w14:textId="77777777" w:rsidR="00440D26" w:rsidRDefault="00440D26" w:rsidP="00440D26">
      <w:pPr>
        <w:pStyle w:val="NormalWeb"/>
        <w:spacing w:before="0" w:beforeAutospacing="0" w:after="0" w:afterAutospacing="0"/>
        <w:jc w:val="both"/>
        <w:rPr>
          <w:rFonts w:ascii="Times" w:hAnsi="Times" w:cs="Arial"/>
          <w:color w:val="000000"/>
          <w:bdr w:val="none" w:sz="0" w:space="0" w:color="auto" w:frame="1"/>
        </w:rPr>
      </w:pPr>
      <w:r w:rsidRPr="007B6F88">
        <w:rPr>
          <w:rFonts w:ascii="Times" w:hAnsi="Times" w:cs="Arial"/>
          <w:color w:val="000000"/>
          <w:bdr w:val="none" w:sz="0" w:space="0" w:color="auto" w:frame="1"/>
        </w:rPr>
        <w:t xml:space="preserve">Key provisions </w:t>
      </w:r>
      <w:r w:rsidR="00123599">
        <w:rPr>
          <w:rFonts w:ascii="Times" w:hAnsi="Times" w:cs="Arial"/>
          <w:color w:val="000000"/>
          <w:bdr w:val="none" w:sz="0" w:space="0" w:color="auto" w:frame="1"/>
        </w:rPr>
        <w:t xml:space="preserve">of </w:t>
      </w:r>
      <w:r w:rsidR="00C0480A" w:rsidRPr="007B6F88">
        <w:rPr>
          <w:rFonts w:ascii="Times" w:hAnsi="Times" w:cs="Arial"/>
          <w:color w:val="000000"/>
          <w:bdr w:val="none" w:sz="0" w:space="0" w:color="auto" w:frame="1"/>
        </w:rPr>
        <w:t xml:space="preserve">21 USC </w:t>
      </w:r>
      <w:r w:rsidR="00C0480A" w:rsidRPr="008C2767">
        <w:rPr>
          <w:rFonts w:ascii="Times" w:hAnsi="Times" w:cs="Arial"/>
          <w:color w:val="000000"/>
          <w:bdr w:val="none" w:sz="0" w:space="0" w:color="auto" w:frame="1"/>
        </w:rPr>
        <w:t>360bbb</w:t>
      </w:r>
      <w:r w:rsidR="00C0480A">
        <w:rPr>
          <w:rFonts w:ascii="Times" w:hAnsi="Times" w:cs="Arial"/>
          <w:color w:val="000000"/>
          <w:bdr w:val="none" w:sz="0" w:space="0" w:color="auto" w:frame="1"/>
        </w:rPr>
        <w:t xml:space="preserve">, </w:t>
      </w:r>
      <w:r w:rsidR="00C0480A" w:rsidRPr="00C0480A">
        <w:rPr>
          <w:rFonts w:ascii="Times" w:hAnsi="Times" w:cs="Arial"/>
          <w:color w:val="000000"/>
          <w:bdr w:val="none" w:sz="0" w:space="0" w:color="auto" w:frame="1"/>
        </w:rPr>
        <w:t>Expanded access to unapproved therapies and diagnostics,</w:t>
      </w:r>
      <w:r w:rsidR="00123599">
        <w:rPr>
          <w:rFonts w:ascii="Times" w:hAnsi="Times" w:cs="Arial"/>
          <w:color w:val="000000"/>
          <w:bdr w:val="none" w:sz="0" w:space="0" w:color="auto" w:frame="1"/>
        </w:rPr>
        <w:t xml:space="preserve"> </w:t>
      </w:r>
      <w:r w:rsidRPr="007B6F88">
        <w:rPr>
          <w:rFonts w:ascii="Times" w:hAnsi="Times" w:cs="Arial"/>
          <w:color w:val="000000"/>
          <w:bdr w:val="none" w:sz="0" w:space="0" w:color="auto" w:frame="1"/>
        </w:rPr>
        <w:t>as of December 2022.</w:t>
      </w:r>
      <w:r w:rsidRPr="007B6F88">
        <w:rPr>
          <w:rStyle w:val="EndnoteReference"/>
          <w:rFonts w:ascii="Times" w:hAnsi="Times" w:cs="Arial"/>
          <w:color w:val="000000"/>
          <w:bdr w:val="none" w:sz="0" w:space="0" w:color="auto" w:frame="1"/>
        </w:rPr>
        <w:endnoteReference w:id="14"/>
      </w:r>
    </w:p>
    <w:p w14:paraId="24DF1594" w14:textId="77777777" w:rsidR="00E55D01" w:rsidRDefault="00E55D01" w:rsidP="00B121D5">
      <w:pPr>
        <w:pStyle w:val="NormalWeb"/>
        <w:spacing w:before="0" w:beforeAutospacing="0" w:after="0" w:afterAutospacing="0"/>
        <w:jc w:val="both"/>
        <w:rPr>
          <w:rFonts w:ascii="Times" w:hAnsi="Times"/>
        </w:rPr>
      </w:pPr>
    </w:p>
    <w:p w14:paraId="1D4B8CA9" w14:textId="0B011B8F" w:rsidR="00307138" w:rsidRDefault="00307138" w:rsidP="00B121D5">
      <w:pPr>
        <w:pStyle w:val="NormalWeb"/>
        <w:spacing w:before="0" w:beforeAutospacing="0" w:after="0" w:afterAutospacing="0"/>
        <w:jc w:val="both"/>
        <w:rPr>
          <w:rFonts w:ascii="Times" w:hAnsi="Times"/>
          <w:i/>
          <w:iCs/>
        </w:rPr>
      </w:pPr>
    </w:p>
    <w:p w14:paraId="448AEC14" w14:textId="77777777" w:rsidR="00EB1108" w:rsidRDefault="00EB1108" w:rsidP="00B121D5">
      <w:pPr>
        <w:pStyle w:val="NormalWeb"/>
        <w:spacing w:before="0" w:beforeAutospacing="0" w:after="0" w:afterAutospacing="0"/>
        <w:jc w:val="both"/>
        <w:rPr>
          <w:rFonts w:ascii="Times" w:hAnsi="Times"/>
          <w:i/>
          <w:iCs/>
        </w:rPr>
      </w:pPr>
    </w:p>
    <w:p w14:paraId="71F0C2FE" w14:textId="77777777" w:rsidR="00440D26" w:rsidRPr="00440D26" w:rsidRDefault="00307138" w:rsidP="00B121D5">
      <w:pPr>
        <w:pStyle w:val="NormalWeb"/>
        <w:spacing w:before="0" w:beforeAutospacing="0" w:after="0" w:afterAutospacing="0"/>
        <w:jc w:val="both"/>
        <w:rPr>
          <w:rFonts w:ascii="Times" w:hAnsi="Times"/>
          <w:i/>
          <w:iCs/>
        </w:rPr>
      </w:pPr>
      <w:r>
        <w:rPr>
          <w:rFonts w:ascii="Times" w:hAnsi="Times"/>
          <w:i/>
          <w:iCs/>
        </w:rPr>
        <w:lastRenderedPageBreak/>
        <w:t xml:space="preserve">2002 - </w:t>
      </w:r>
      <w:r w:rsidR="00440D26" w:rsidRPr="00440D26">
        <w:rPr>
          <w:rFonts w:ascii="Times" w:hAnsi="Times"/>
          <w:i/>
          <w:iCs/>
        </w:rPr>
        <w:t xml:space="preserve">National All-Hazards Preparedness </w:t>
      </w:r>
      <w:r>
        <w:rPr>
          <w:rFonts w:ascii="Times" w:hAnsi="Times"/>
          <w:i/>
          <w:iCs/>
        </w:rPr>
        <w:t>for Public Health Emergencies</w:t>
      </w:r>
    </w:p>
    <w:p w14:paraId="3C75859B" w14:textId="77777777" w:rsidR="00440D26" w:rsidRDefault="00440D26" w:rsidP="00B121D5">
      <w:pPr>
        <w:pStyle w:val="NormalWeb"/>
        <w:spacing w:before="0" w:beforeAutospacing="0" w:after="0" w:afterAutospacing="0"/>
        <w:jc w:val="both"/>
        <w:rPr>
          <w:rFonts w:ascii="Times" w:hAnsi="Times"/>
        </w:rPr>
      </w:pPr>
    </w:p>
    <w:p w14:paraId="0393648D" w14:textId="77777777" w:rsidR="00440D26" w:rsidRPr="00D44DF9" w:rsidRDefault="00440D26" w:rsidP="00B121D5">
      <w:pPr>
        <w:pStyle w:val="NormalWeb"/>
        <w:spacing w:before="0" w:beforeAutospacing="0" w:after="0" w:afterAutospacing="0"/>
        <w:jc w:val="both"/>
        <w:rPr>
          <w:rFonts w:ascii="Times" w:hAnsi="Times"/>
        </w:rPr>
      </w:pPr>
      <w:r w:rsidRPr="00D44DF9">
        <w:rPr>
          <w:rFonts w:ascii="Times" w:hAnsi="Times"/>
        </w:rPr>
        <w:t xml:space="preserve">In </w:t>
      </w:r>
      <w:r w:rsidR="00BC7C2B" w:rsidRPr="00D44DF9">
        <w:rPr>
          <w:rFonts w:ascii="Times" w:hAnsi="Times"/>
        </w:rPr>
        <w:t>2002</w:t>
      </w:r>
      <w:r w:rsidRPr="00D44DF9">
        <w:rPr>
          <w:rFonts w:ascii="Times" w:hAnsi="Times"/>
        </w:rPr>
        <w:t xml:space="preserve">, Congress </w:t>
      </w:r>
      <w:r w:rsidR="00307138">
        <w:rPr>
          <w:rFonts w:ascii="Times" w:hAnsi="Times"/>
        </w:rPr>
        <w:t>adopted</w:t>
      </w:r>
      <w:r w:rsidRPr="00D44DF9">
        <w:rPr>
          <w:rFonts w:ascii="Times" w:hAnsi="Times"/>
        </w:rPr>
        <w:t xml:space="preserve"> </w:t>
      </w:r>
      <w:r w:rsidR="00307138">
        <w:rPr>
          <w:rFonts w:ascii="Times" w:hAnsi="Times"/>
        </w:rPr>
        <w:t>the</w:t>
      </w:r>
      <w:r w:rsidRPr="00D44DF9">
        <w:rPr>
          <w:rFonts w:ascii="Times" w:hAnsi="Times"/>
        </w:rPr>
        <w:t xml:space="preserve"> </w:t>
      </w:r>
      <w:r w:rsidRPr="00D44DF9">
        <w:rPr>
          <w:rFonts w:ascii="Times" w:hAnsi="Times"/>
          <w:b/>
          <w:bCs/>
        </w:rPr>
        <w:t>National All-Hazards Preparedness for Public Health Emergencies</w:t>
      </w:r>
      <w:r w:rsidRPr="00D44DF9">
        <w:rPr>
          <w:rFonts w:ascii="Times" w:hAnsi="Times"/>
        </w:rPr>
        <w:t xml:space="preserve"> law at </w:t>
      </w:r>
      <w:r w:rsidR="00BC7C2B" w:rsidRPr="00D44DF9">
        <w:rPr>
          <w:rFonts w:ascii="Times" w:hAnsi="Times"/>
        </w:rPr>
        <w:t xml:space="preserve">42 </w:t>
      </w:r>
      <w:r w:rsidRPr="00D44DF9">
        <w:rPr>
          <w:rFonts w:ascii="Times" w:hAnsi="Times"/>
        </w:rPr>
        <w:t xml:space="preserve">USC </w:t>
      </w:r>
      <w:r w:rsidR="00BC7C2B" w:rsidRPr="00D44DF9">
        <w:rPr>
          <w:rFonts w:ascii="Times" w:hAnsi="Times"/>
        </w:rPr>
        <w:t>§300hh et seq</w:t>
      </w:r>
      <w:r w:rsidRPr="00D44DF9">
        <w:rPr>
          <w:rFonts w:ascii="Times" w:hAnsi="Times"/>
        </w:rPr>
        <w:t>.</w:t>
      </w:r>
    </w:p>
    <w:p w14:paraId="48853583" w14:textId="77777777" w:rsidR="007B6F88" w:rsidRDefault="007B6F88" w:rsidP="00B121D5">
      <w:pPr>
        <w:pStyle w:val="NormalWeb"/>
        <w:spacing w:before="0" w:beforeAutospacing="0" w:after="0" w:afterAutospacing="0"/>
        <w:jc w:val="both"/>
        <w:rPr>
          <w:rFonts w:ascii="Times" w:hAnsi="Times"/>
          <w:highlight w:val="yellow"/>
        </w:rPr>
      </w:pPr>
    </w:p>
    <w:p w14:paraId="3962B696" w14:textId="77777777" w:rsidR="00440D26" w:rsidRDefault="00440D26" w:rsidP="00440D26">
      <w:pPr>
        <w:pStyle w:val="NormalWeb"/>
        <w:spacing w:before="0" w:beforeAutospacing="0" w:after="0" w:afterAutospacing="0"/>
        <w:jc w:val="both"/>
        <w:rPr>
          <w:rFonts w:ascii="Times" w:hAnsi="Times"/>
        </w:rPr>
      </w:pPr>
      <w:r>
        <w:rPr>
          <w:rFonts w:ascii="Times" w:hAnsi="Times"/>
        </w:rPr>
        <w:t>This Congressional act and subsequent amendments</w:t>
      </w:r>
      <w:r w:rsidR="00307138">
        <w:rPr>
          <w:rFonts w:ascii="Times" w:hAnsi="Times"/>
        </w:rPr>
        <w:t xml:space="preserve">, mostly enacted through the same laws that developed the </w:t>
      </w:r>
      <w:r w:rsidR="00714D7C">
        <w:rPr>
          <w:rFonts w:ascii="Times" w:hAnsi="Times"/>
        </w:rPr>
        <w:t>1983</w:t>
      </w:r>
      <w:r w:rsidR="00307138">
        <w:rPr>
          <w:rFonts w:ascii="Times" w:hAnsi="Times"/>
        </w:rPr>
        <w:t xml:space="preserve"> Public Health Emergencies framework</w:t>
      </w:r>
      <w:r w:rsidR="00714D7C">
        <w:rPr>
          <w:rFonts w:ascii="Times" w:hAnsi="Times"/>
        </w:rPr>
        <w:t xml:space="preserve"> listed at Endnote 7</w:t>
      </w:r>
      <w:r>
        <w:rPr>
          <w:rFonts w:ascii="Times" w:hAnsi="Times"/>
        </w:rPr>
        <w:t>, expanded and c</w:t>
      </w:r>
      <w:r w:rsidR="00714D7C">
        <w:rPr>
          <w:rFonts w:ascii="Times" w:hAnsi="Times"/>
        </w:rPr>
        <w:t>entraliz</w:t>
      </w:r>
      <w:r>
        <w:rPr>
          <w:rFonts w:ascii="Times" w:hAnsi="Times"/>
        </w:rPr>
        <w:t xml:space="preserve">ed the managerial structure or chain-of-command, establishing parallel offices </w:t>
      </w:r>
      <w:r w:rsidR="00714D7C">
        <w:rPr>
          <w:rFonts w:ascii="Times" w:hAnsi="Times"/>
        </w:rPr>
        <w:t xml:space="preserve">or directorates </w:t>
      </w:r>
      <w:r>
        <w:rPr>
          <w:rFonts w:ascii="Times" w:hAnsi="Times"/>
        </w:rPr>
        <w:t>of "emergency preparedness</w:t>
      </w:r>
      <w:r w:rsidR="00714D7C">
        <w:rPr>
          <w:rFonts w:ascii="Times" w:hAnsi="Times"/>
        </w:rPr>
        <w:t xml:space="preserve"> and response</w:t>
      </w:r>
      <w:r>
        <w:rPr>
          <w:rFonts w:ascii="Times" w:hAnsi="Times"/>
        </w:rPr>
        <w:t xml:space="preserve">" </w:t>
      </w:r>
      <w:r w:rsidR="00FF33A2">
        <w:rPr>
          <w:rFonts w:ascii="Times" w:hAnsi="Times"/>
        </w:rPr>
        <w:t>within Health and Human Services</w:t>
      </w:r>
      <w:r w:rsidR="00714D7C">
        <w:rPr>
          <w:rFonts w:ascii="Times" w:hAnsi="Times"/>
        </w:rPr>
        <w:t xml:space="preserve"> (Assistant Secretary for Preparedness and Response/ASPR)</w:t>
      </w:r>
      <w:r w:rsidR="00FF33A2">
        <w:rPr>
          <w:rFonts w:ascii="Times" w:hAnsi="Times"/>
        </w:rPr>
        <w:t>, Department of Defense, Department of Homeland Security</w:t>
      </w:r>
      <w:r w:rsidR="00D44DF9">
        <w:rPr>
          <w:rFonts w:ascii="Times" w:hAnsi="Times"/>
        </w:rPr>
        <w:t>, Department of Justice</w:t>
      </w:r>
      <w:r w:rsidR="00FF33A2">
        <w:rPr>
          <w:rFonts w:ascii="Times" w:hAnsi="Times"/>
        </w:rPr>
        <w:t xml:space="preserve"> and other federal agencies.</w:t>
      </w:r>
    </w:p>
    <w:p w14:paraId="1B0363B9" w14:textId="77777777" w:rsidR="00D44DF9" w:rsidRDefault="00D44DF9" w:rsidP="00440D26">
      <w:pPr>
        <w:pStyle w:val="NormalWeb"/>
        <w:spacing w:before="0" w:beforeAutospacing="0" w:after="0" w:afterAutospacing="0"/>
        <w:jc w:val="both"/>
        <w:rPr>
          <w:rFonts w:ascii="Times" w:hAnsi="Times"/>
        </w:rPr>
      </w:pPr>
    </w:p>
    <w:p w14:paraId="6C1571C4" w14:textId="0A7EB760" w:rsidR="00D44DF9" w:rsidRDefault="00D44DF9" w:rsidP="00CC2B7F">
      <w:pPr>
        <w:pStyle w:val="NormalWeb"/>
        <w:spacing w:before="0" w:beforeAutospacing="0" w:after="0" w:afterAutospacing="0"/>
        <w:jc w:val="both"/>
        <w:rPr>
          <w:rFonts w:ascii="Times" w:hAnsi="Times"/>
        </w:rPr>
      </w:pPr>
      <w:r>
        <w:rPr>
          <w:rFonts w:ascii="Times" w:hAnsi="Times"/>
        </w:rPr>
        <w:t>Coordinating committees comprised of representatives of these federal offices were apparently authorized to meet and establish supervisory procedures to direct, control and fund public health emergency response programs at the federal, state, local and tribal levels.</w:t>
      </w:r>
      <w:r w:rsidR="00CC2B7F">
        <w:rPr>
          <w:rFonts w:ascii="Times" w:hAnsi="Times"/>
        </w:rPr>
        <w:t xml:space="preserve"> </w:t>
      </w:r>
      <w:r>
        <w:rPr>
          <w:rFonts w:ascii="Times" w:hAnsi="Times"/>
        </w:rPr>
        <w:t>These coordinating committees include but are not limited to</w:t>
      </w:r>
      <w:r w:rsidRPr="00D44DF9">
        <w:rPr>
          <w:rFonts w:ascii="Times" w:hAnsi="Times"/>
        </w:rPr>
        <w:t xml:space="preserve"> the Public Health Emergency Medical Countermeasures Enterprise</w:t>
      </w:r>
      <w:r w:rsidR="009A26AB">
        <w:rPr>
          <w:rFonts w:ascii="Times" w:hAnsi="Times"/>
        </w:rPr>
        <w:t xml:space="preserve"> (PHEMCE)</w:t>
      </w:r>
      <w:r w:rsidRPr="00D44DF9">
        <w:rPr>
          <w:rFonts w:ascii="Times" w:hAnsi="Times"/>
        </w:rPr>
        <w:t xml:space="preserve">, </w:t>
      </w:r>
      <w:r w:rsidR="00714D7C">
        <w:rPr>
          <w:rFonts w:ascii="Times" w:hAnsi="Times"/>
        </w:rPr>
        <w:t xml:space="preserve">established by HHS in 2006 and </w:t>
      </w:r>
      <w:r w:rsidR="00B35D5C">
        <w:rPr>
          <w:rFonts w:ascii="Times" w:hAnsi="Times"/>
        </w:rPr>
        <w:t>authoriz</w:t>
      </w:r>
      <w:r w:rsidRPr="00D44DF9">
        <w:rPr>
          <w:rFonts w:ascii="Times" w:hAnsi="Times"/>
        </w:rPr>
        <w:t xml:space="preserve">ed </w:t>
      </w:r>
      <w:r w:rsidR="00B35D5C">
        <w:rPr>
          <w:rFonts w:ascii="Times" w:hAnsi="Times"/>
        </w:rPr>
        <w:t xml:space="preserve">by Congress in </w:t>
      </w:r>
      <w:r w:rsidRPr="00D44DF9">
        <w:rPr>
          <w:rFonts w:ascii="Times" w:hAnsi="Times"/>
        </w:rPr>
        <w:t>201</w:t>
      </w:r>
      <w:r w:rsidR="00B35D5C">
        <w:rPr>
          <w:rFonts w:ascii="Times" w:hAnsi="Times"/>
        </w:rPr>
        <w:t>9</w:t>
      </w:r>
      <w:r w:rsidR="00714D7C">
        <w:rPr>
          <w:rFonts w:ascii="Times" w:hAnsi="Times"/>
        </w:rPr>
        <w:t>,</w:t>
      </w:r>
      <w:r w:rsidRPr="00D44DF9">
        <w:rPr>
          <w:rFonts w:ascii="Times" w:hAnsi="Times"/>
          <w:vertAlign w:val="superscript"/>
        </w:rPr>
        <w:endnoteReference w:id="15"/>
      </w:r>
      <w:r w:rsidRPr="00D44DF9">
        <w:rPr>
          <w:rFonts w:ascii="Times" w:hAnsi="Times"/>
        </w:rPr>
        <w:t xml:space="preserve"> </w:t>
      </w:r>
      <w:r w:rsidR="00714D7C">
        <w:rPr>
          <w:rFonts w:ascii="Times" w:hAnsi="Times"/>
        </w:rPr>
        <w:t>and</w:t>
      </w:r>
      <w:r w:rsidRPr="00D44DF9">
        <w:rPr>
          <w:rFonts w:ascii="Times" w:hAnsi="Times"/>
        </w:rPr>
        <w:t xml:space="preserve"> other public, private, hybrid and quasi-governmental entities, including the FDA Medical Countermeasures Initiative (</w:t>
      </w:r>
      <w:proofErr w:type="spellStart"/>
      <w:r w:rsidRPr="00D44DF9">
        <w:rPr>
          <w:rFonts w:ascii="Times" w:hAnsi="Times"/>
        </w:rPr>
        <w:t>MCMi</w:t>
      </w:r>
      <w:proofErr w:type="spellEnd"/>
      <w:r w:rsidRPr="00D44DF9">
        <w:rPr>
          <w:rFonts w:ascii="Times" w:hAnsi="Times"/>
        </w:rPr>
        <w:t xml:space="preserve">); </w:t>
      </w:r>
      <w:r w:rsidR="00714D7C">
        <w:rPr>
          <w:rFonts w:ascii="Times" w:hAnsi="Times"/>
        </w:rPr>
        <w:t>HHS</w:t>
      </w:r>
      <w:r w:rsidRPr="00D44DF9">
        <w:rPr>
          <w:rFonts w:ascii="Times" w:hAnsi="Times"/>
        </w:rPr>
        <w:t xml:space="preserve"> Biomedical Advanced Research and Development Authority (BARDA); and the Medical Chemical, Biological, Radiological, Nuclear [CBRN] Defense Consortium (MCDC).</w:t>
      </w:r>
    </w:p>
    <w:p w14:paraId="0DBA69F0" w14:textId="77777777" w:rsidR="00CC2B7F" w:rsidRPr="00CC2B7F" w:rsidRDefault="00CC2B7F" w:rsidP="00CC2B7F">
      <w:pPr>
        <w:pStyle w:val="NormalWeb"/>
        <w:spacing w:before="0" w:beforeAutospacing="0" w:after="0" w:afterAutospacing="0"/>
        <w:jc w:val="both"/>
        <w:rPr>
          <w:rFonts w:ascii="Times" w:hAnsi="Times"/>
        </w:rPr>
      </w:pPr>
    </w:p>
    <w:p w14:paraId="437EC7DF" w14:textId="77777777" w:rsidR="00440D26" w:rsidRDefault="00440D26" w:rsidP="00440D26">
      <w:pPr>
        <w:pStyle w:val="NormalWeb"/>
        <w:spacing w:before="0" w:beforeAutospacing="0" w:after="0" w:afterAutospacing="0"/>
        <w:jc w:val="both"/>
        <w:rPr>
          <w:rFonts w:ascii="Times" w:hAnsi="Times"/>
        </w:rPr>
      </w:pPr>
      <w:r>
        <w:rPr>
          <w:rFonts w:ascii="Times" w:hAnsi="Times"/>
        </w:rPr>
        <w:t xml:space="preserve">Key provisions </w:t>
      </w:r>
      <w:r w:rsidR="00D44DF9">
        <w:rPr>
          <w:rFonts w:ascii="Times" w:hAnsi="Times"/>
        </w:rPr>
        <w:t xml:space="preserve">of </w:t>
      </w:r>
      <w:r w:rsidR="00CC2B7F">
        <w:rPr>
          <w:rFonts w:ascii="Times" w:hAnsi="Times"/>
        </w:rPr>
        <w:t xml:space="preserve">42 USC 300hh, </w:t>
      </w:r>
      <w:r w:rsidR="00D44DF9">
        <w:rPr>
          <w:rFonts w:ascii="Times" w:hAnsi="Times"/>
        </w:rPr>
        <w:t xml:space="preserve">National All-Hazards Preparedness for Public Health Emergencies program </w:t>
      </w:r>
      <w:r>
        <w:rPr>
          <w:rFonts w:ascii="Times" w:hAnsi="Times"/>
        </w:rPr>
        <w:t>as of December 2022.</w:t>
      </w:r>
      <w:r>
        <w:rPr>
          <w:rStyle w:val="EndnoteReference"/>
          <w:rFonts w:ascii="Times" w:hAnsi="Times"/>
        </w:rPr>
        <w:endnoteReference w:id="16"/>
      </w:r>
    </w:p>
    <w:p w14:paraId="71C68BE0" w14:textId="77777777" w:rsidR="00440D26" w:rsidRPr="00440D26" w:rsidRDefault="00440D26" w:rsidP="00440D26">
      <w:pPr>
        <w:pStyle w:val="NormalWeb"/>
        <w:spacing w:before="0" w:beforeAutospacing="0" w:after="0" w:afterAutospacing="0"/>
        <w:jc w:val="both"/>
        <w:rPr>
          <w:rFonts w:ascii="Times" w:hAnsi="Times"/>
        </w:rPr>
      </w:pPr>
    </w:p>
    <w:p w14:paraId="68F116B8" w14:textId="77777777" w:rsidR="00714D7C" w:rsidRPr="00714D7C" w:rsidRDefault="00440D26" w:rsidP="00714D7C">
      <w:pPr>
        <w:jc w:val="both"/>
        <w:rPr>
          <w:rFonts w:ascii="Times" w:hAnsi="Times" w:cs="Arial"/>
          <w:i/>
          <w:iCs/>
          <w:color w:val="000000"/>
          <w:bdr w:val="none" w:sz="0" w:space="0" w:color="auto" w:frame="1"/>
        </w:rPr>
      </w:pPr>
      <w:r w:rsidRPr="00714D7C">
        <w:rPr>
          <w:rFonts w:ascii="Times" w:hAnsi="Times" w:cs="Arial"/>
          <w:i/>
          <w:iCs/>
          <w:color w:val="000000"/>
          <w:bdr w:val="none" w:sz="0" w:space="0" w:color="auto" w:frame="1"/>
        </w:rPr>
        <w:t>2015</w:t>
      </w:r>
      <w:r w:rsidR="00714D7C" w:rsidRPr="00714D7C">
        <w:rPr>
          <w:rFonts w:ascii="Times" w:hAnsi="Times" w:cs="Arial"/>
          <w:i/>
          <w:iCs/>
          <w:color w:val="000000"/>
          <w:bdr w:val="none" w:sz="0" w:space="0" w:color="auto" w:frame="1"/>
        </w:rPr>
        <w:t xml:space="preserve"> - Research projects: transactions other than contracts and grants</w:t>
      </w:r>
    </w:p>
    <w:p w14:paraId="040184E9" w14:textId="77777777" w:rsidR="00440D26" w:rsidRPr="008740E8" w:rsidRDefault="00440D26" w:rsidP="00440D26">
      <w:pPr>
        <w:jc w:val="both"/>
        <w:rPr>
          <w:rFonts w:ascii="Times" w:hAnsi="Times" w:cs="Arial"/>
          <w:b/>
          <w:bCs/>
          <w:color w:val="000000"/>
          <w:bdr w:val="none" w:sz="0" w:space="0" w:color="auto" w:frame="1"/>
        </w:rPr>
      </w:pPr>
    </w:p>
    <w:p w14:paraId="49549FFB" w14:textId="1DB19E2B" w:rsidR="00CC2B7F" w:rsidRDefault="00A11B99" w:rsidP="00CC2B7F">
      <w:pPr>
        <w:jc w:val="both"/>
        <w:rPr>
          <w:rFonts w:ascii="Times" w:hAnsi="Times" w:cs="Arial"/>
          <w:color w:val="000000"/>
          <w:bdr w:val="none" w:sz="0" w:space="0" w:color="auto" w:frame="1"/>
        </w:rPr>
      </w:pPr>
      <w:r>
        <w:rPr>
          <w:rFonts w:ascii="Times" w:hAnsi="Times" w:cs="Arial"/>
          <w:color w:val="000000"/>
          <w:bdr w:val="none" w:sz="0" w:space="0" w:color="auto" w:frame="1"/>
        </w:rPr>
        <w:t>Reduction of Congressional</w:t>
      </w:r>
      <w:r w:rsidR="00440D26" w:rsidRPr="008740E8">
        <w:rPr>
          <w:rFonts w:ascii="Times" w:hAnsi="Times" w:cs="Arial"/>
          <w:color w:val="000000"/>
          <w:bdr w:val="none" w:sz="0" w:space="0" w:color="auto" w:frame="1"/>
        </w:rPr>
        <w:t xml:space="preserve"> contract oversight pertaining to procurement of medical</w:t>
      </w:r>
      <w:r>
        <w:rPr>
          <w:rFonts w:ascii="Times" w:hAnsi="Times" w:cs="Arial"/>
          <w:color w:val="000000"/>
          <w:bdr w:val="none" w:sz="0" w:space="0" w:color="auto" w:frame="1"/>
        </w:rPr>
        <w:t xml:space="preserve"> countermeasures</w:t>
      </w:r>
      <w:r w:rsidR="00440D26" w:rsidRPr="008740E8">
        <w:rPr>
          <w:rFonts w:ascii="Times" w:hAnsi="Times" w:cs="Arial"/>
          <w:color w:val="000000"/>
          <w:bdr w:val="none" w:sz="0" w:space="0" w:color="auto" w:frame="1"/>
        </w:rPr>
        <w:t xml:space="preserve"> </w:t>
      </w:r>
      <w:r>
        <w:rPr>
          <w:rFonts w:ascii="Times" w:hAnsi="Times" w:cs="Arial"/>
          <w:color w:val="000000"/>
          <w:bdr w:val="none" w:sz="0" w:space="0" w:color="auto" w:frame="1"/>
        </w:rPr>
        <w:t xml:space="preserve">originated in </w:t>
      </w:r>
      <w:r w:rsidR="00440D26" w:rsidRPr="008740E8">
        <w:rPr>
          <w:rFonts w:ascii="Times" w:hAnsi="Times" w:cs="Arial"/>
          <w:color w:val="000000"/>
          <w:bdr w:val="none" w:sz="0" w:space="0" w:color="auto" w:frame="1"/>
        </w:rPr>
        <w:t xml:space="preserve">1958, if not earlier, through </w:t>
      </w:r>
      <w:r>
        <w:rPr>
          <w:rFonts w:ascii="Times" w:hAnsi="Times" w:cs="Arial"/>
          <w:color w:val="000000"/>
          <w:bdr w:val="none" w:sz="0" w:space="0" w:color="auto" w:frame="1"/>
        </w:rPr>
        <w:t>Other Transactions Authority</w:t>
      </w:r>
      <w:r w:rsidR="009A26AB">
        <w:rPr>
          <w:rFonts w:ascii="Times" w:hAnsi="Times" w:cs="Arial"/>
          <w:color w:val="000000"/>
          <w:bdr w:val="none" w:sz="0" w:space="0" w:color="auto" w:frame="1"/>
        </w:rPr>
        <w:t xml:space="preserve"> (OTA)</w:t>
      </w:r>
      <w:r>
        <w:rPr>
          <w:rFonts w:ascii="Times" w:hAnsi="Times" w:cs="Arial"/>
          <w:color w:val="000000"/>
          <w:bdr w:val="none" w:sz="0" w:space="0" w:color="auto" w:frame="1"/>
        </w:rPr>
        <w:t>, which suspends most normal financial controls on federal spending.</w:t>
      </w:r>
    </w:p>
    <w:p w14:paraId="4E8A4902" w14:textId="77777777" w:rsidR="00CC2B7F" w:rsidRDefault="00CC2B7F" w:rsidP="00CC2B7F">
      <w:pPr>
        <w:jc w:val="both"/>
        <w:rPr>
          <w:rFonts w:ascii="Times" w:hAnsi="Times" w:cs="Arial"/>
          <w:color w:val="000000"/>
          <w:bdr w:val="none" w:sz="0" w:space="0" w:color="auto" w:frame="1"/>
        </w:rPr>
      </w:pPr>
    </w:p>
    <w:p w14:paraId="2A1FAFFD" w14:textId="77777777" w:rsidR="00CC2B7F" w:rsidRPr="00CC2B7F" w:rsidRDefault="00A11B99" w:rsidP="00CC2B7F">
      <w:pPr>
        <w:jc w:val="both"/>
        <w:rPr>
          <w:rFonts w:ascii="Times" w:hAnsi="Times" w:cs="Arial"/>
          <w:color w:val="000000"/>
          <w:bdr w:val="none" w:sz="0" w:space="0" w:color="auto" w:frame="1"/>
        </w:rPr>
      </w:pPr>
      <w:r w:rsidRPr="008740E8">
        <w:rPr>
          <w:rFonts w:ascii="Times" w:hAnsi="Times" w:cs="Arial"/>
          <w:color w:val="000000"/>
          <w:bdr w:val="none" w:sz="0" w:space="0" w:color="auto" w:frame="1"/>
        </w:rPr>
        <w:t>Congress authorized DOD to use OTA for prototype procurement in 2015</w:t>
      </w:r>
      <w:r>
        <w:rPr>
          <w:rFonts w:ascii="Times" w:hAnsi="Times" w:cs="Arial"/>
          <w:color w:val="000000"/>
          <w:bdr w:val="none" w:sz="0" w:space="0" w:color="auto" w:frame="1"/>
        </w:rPr>
        <w:t>, by adopting 10 USC 2371 et seq</w:t>
      </w:r>
      <w:r w:rsidR="00CC2B7F">
        <w:rPr>
          <w:rFonts w:ascii="Times" w:hAnsi="Times" w:cs="Arial"/>
          <w:color w:val="000000"/>
          <w:bdr w:val="none" w:sz="0" w:space="0" w:color="auto" w:frame="1"/>
        </w:rPr>
        <w:t xml:space="preserve">, </w:t>
      </w:r>
      <w:r w:rsidR="00CC2B7F" w:rsidRPr="00CC2B7F">
        <w:rPr>
          <w:b/>
          <w:bCs/>
        </w:rPr>
        <w:t>Research projects: transactions other than contracts and grants.</w:t>
      </w:r>
      <w:r w:rsidR="00CC2B7F">
        <w:t xml:space="preserve"> </w:t>
      </w:r>
    </w:p>
    <w:p w14:paraId="1CAF43B8" w14:textId="77777777" w:rsidR="00CC2B7F" w:rsidRDefault="00CC2B7F" w:rsidP="00440D26">
      <w:pPr>
        <w:jc w:val="both"/>
        <w:rPr>
          <w:rFonts w:ascii="Times" w:hAnsi="Times" w:cs="Arial"/>
          <w:color w:val="000000"/>
          <w:bdr w:val="none" w:sz="0" w:space="0" w:color="auto" w:frame="1"/>
        </w:rPr>
      </w:pPr>
    </w:p>
    <w:p w14:paraId="0AC5B646" w14:textId="2BEB1DC8" w:rsidR="00440D26" w:rsidRDefault="00CC2B7F" w:rsidP="00440D26">
      <w:pPr>
        <w:jc w:val="both"/>
        <w:rPr>
          <w:rFonts w:ascii="Times" w:hAnsi="Times" w:cs="Arial"/>
          <w:color w:val="000000"/>
          <w:bdr w:val="none" w:sz="0" w:space="0" w:color="auto" w:frame="1"/>
        </w:rPr>
      </w:pPr>
      <w:r>
        <w:rPr>
          <w:rFonts w:ascii="Times" w:hAnsi="Times" w:cs="Arial"/>
          <w:color w:val="000000"/>
          <w:bdr w:val="none" w:sz="0" w:space="0" w:color="auto" w:frame="1"/>
        </w:rPr>
        <w:t>The laws were</w:t>
      </w:r>
      <w:r w:rsidR="00A11B99">
        <w:rPr>
          <w:rFonts w:ascii="Times" w:hAnsi="Times" w:cs="Arial"/>
          <w:color w:val="000000"/>
          <w:bdr w:val="none" w:sz="0" w:space="0" w:color="auto" w:frame="1"/>
        </w:rPr>
        <w:t xml:space="preserve"> subsequently renumbered and reorganized at 10 USC </w:t>
      </w:r>
      <w:r w:rsidR="00440D26" w:rsidRPr="008740E8">
        <w:rPr>
          <w:rFonts w:ascii="Times" w:hAnsi="Times"/>
        </w:rPr>
        <w:t xml:space="preserve">4021 et seq, including </w:t>
      </w:r>
      <w:r w:rsidR="00440D26" w:rsidRPr="008740E8">
        <w:rPr>
          <w:rFonts w:ascii="Times" w:hAnsi="Times" w:cs="Arial"/>
          <w:color w:val="000000"/>
          <w:bdr w:val="none" w:sz="0" w:space="0" w:color="auto" w:frame="1"/>
        </w:rPr>
        <w:t>10 USC 4022, "Authority of the Department of Defense to carry out certain prototype projects" under Other Transactions Authority</w:t>
      </w:r>
      <w:r w:rsidR="00A11B99">
        <w:rPr>
          <w:rFonts w:ascii="Times" w:hAnsi="Times" w:cs="Arial"/>
          <w:color w:val="000000"/>
          <w:bdr w:val="none" w:sz="0" w:space="0" w:color="auto" w:frame="1"/>
        </w:rPr>
        <w:t>.</w:t>
      </w:r>
      <w:r w:rsidR="00714D7C" w:rsidRPr="00A11B99">
        <w:rPr>
          <w:rStyle w:val="EndnoteReference"/>
          <w:rFonts w:ascii="Times" w:hAnsi="Times"/>
        </w:rPr>
        <w:endnoteReference w:id="17"/>
      </w:r>
      <w:r w:rsidR="00440D26" w:rsidRPr="008740E8">
        <w:rPr>
          <w:rFonts w:ascii="Times" w:hAnsi="Times" w:cs="Arial"/>
          <w:color w:val="000000"/>
          <w:bdr w:val="none" w:sz="0" w:space="0" w:color="auto" w:frame="1"/>
        </w:rPr>
        <w:t xml:space="preserve"> </w:t>
      </w:r>
    </w:p>
    <w:p w14:paraId="5DEE5965" w14:textId="77777777" w:rsidR="00A11B99" w:rsidRDefault="00A11B99" w:rsidP="00A11B99">
      <w:pPr>
        <w:jc w:val="both"/>
        <w:rPr>
          <w:rFonts w:ascii="Times" w:hAnsi="Times" w:cs="Arial"/>
          <w:color w:val="000000"/>
          <w:bdr w:val="none" w:sz="0" w:space="0" w:color="auto" w:frame="1"/>
        </w:rPr>
      </w:pPr>
    </w:p>
    <w:p w14:paraId="1BE859DA" w14:textId="5960CB60" w:rsidR="00440D26" w:rsidRDefault="00A11B99" w:rsidP="00440D26">
      <w:pPr>
        <w:jc w:val="both"/>
        <w:rPr>
          <w:rFonts w:ascii="Times" w:hAnsi="Times" w:cs="Arial"/>
          <w:color w:val="000000"/>
          <w:bdr w:val="none" w:sz="0" w:space="0" w:color="auto" w:frame="1"/>
        </w:rPr>
      </w:pPr>
      <w:r w:rsidRPr="00A11B99">
        <w:rPr>
          <w:rFonts w:ascii="Times" w:hAnsi="Times" w:cs="Arial"/>
          <w:color w:val="000000"/>
          <w:bdr w:val="none" w:sz="0" w:space="0" w:color="auto" w:frame="1"/>
        </w:rPr>
        <w:t xml:space="preserve">DOD used this authority to contract for </w:t>
      </w:r>
      <w:r>
        <w:rPr>
          <w:rFonts w:ascii="Times" w:hAnsi="Times" w:cs="Arial"/>
          <w:color w:val="000000"/>
          <w:bdr w:val="none" w:sz="0" w:space="0" w:color="auto" w:frame="1"/>
        </w:rPr>
        <w:t xml:space="preserve">development, </w:t>
      </w:r>
      <w:r w:rsidRPr="00A11B99">
        <w:rPr>
          <w:rFonts w:ascii="Times" w:hAnsi="Times" w:cs="Arial"/>
          <w:color w:val="000000"/>
          <w:bdr w:val="none" w:sz="0" w:space="0" w:color="auto" w:frame="1"/>
        </w:rPr>
        <w:t>production</w:t>
      </w:r>
      <w:r>
        <w:rPr>
          <w:rFonts w:ascii="Times" w:hAnsi="Times" w:cs="Arial"/>
          <w:color w:val="000000"/>
          <w:bdr w:val="none" w:sz="0" w:space="0" w:color="auto" w:frame="1"/>
        </w:rPr>
        <w:t xml:space="preserve"> and distribution</w:t>
      </w:r>
      <w:r w:rsidRPr="00A11B99">
        <w:rPr>
          <w:rFonts w:ascii="Times" w:hAnsi="Times" w:cs="Arial"/>
          <w:color w:val="000000"/>
          <w:bdr w:val="none" w:sz="0" w:space="0" w:color="auto" w:frame="1"/>
        </w:rPr>
        <w:t xml:space="preserve"> of ‘Covid-19 vaccine’ bioagents in 2020</w:t>
      </w:r>
      <w:r>
        <w:rPr>
          <w:rFonts w:ascii="Times" w:hAnsi="Times" w:cs="Arial"/>
          <w:color w:val="000000"/>
          <w:bdr w:val="none" w:sz="0" w:space="0" w:color="auto" w:frame="1"/>
        </w:rPr>
        <w:t xml:space="preserve">. The </w:t>
      </w:r>
      <w:r w:rsidR="00CC2B7F">
        <w:rPr>
          <w:rFonts w:ascii="Times" w:hAnsi="Times" w:cs="Arial"/>
          <w:color w:val="000000"/>
          <w:bdr w:val="none" w:sz="0" w:space="0" w:color="auto" w:frame="1"/>
        </w:rPr>
        <w:t>contracts covered "large scale manufacturing demonstrations," but not clinical trials, and were carried out by</w:t>
      </w:r>
      <w:r w:rsidRPr="00A11B99">
        <w:rPr>
          <w:rFonts w:ascii="Times" w:hAnsi="Times" w:cs="Arial"/>
          <w:color w:val="000000"/>
          <w:bdr w:val="none" w:sz="0" w:space="0" w:color="auto" w:frame="1"/>
        </w:rPr>
        <w:t xml:space="preserve"> Medical CBRN [Chemical Biological Radiological Nuclear] Defense Consortium </w:t>
      </w:r>
      <w:r w:rsidR="00C3665B">
        <w:rPr>
          <w:rFonts w:ascii="Times" w:hAnsi="Times" w:cs="Arial"/>
          <w:color w:val="000000"/>
          <w:bdr w:val="none" w:sz="0" w:space="0" w:color="auto" w:frame="1"/>
        </w:rPr>
        <w:t xml:space="preserve">(MCDC) </w:t>
      </w:r>
      <w:r w:rsidRPr="00A11B99">
        <w:rPr>
          <w:rFonts w:ascii="Times" w:hAnsi="Times" w:cs="Arial"/>
          <w:color w:val="000000"/>
          <w:bdr w:val="none" w:sz="0" w:space="0" w:color="auto" w:frame="1"/>
        </w:rPr>
        <w:t>program members</w:t>
      </w:r>
      <w:r w:rsidR="00CC2B7F">
        <w:rPr>
          <w:rFonts w:ascii="Times" w:hAnsi="Times" w:cs="Arial"/>
          <w:color w:val="000000"/>
          <w:bdr w:val="none" w:sz="0" w:space="0" w:color="auto" w:frame="1"/>
        </w:rPr>
        <w:t>,</w:t>
      </w:r>
      <w:r w:rsidRPr="00A11B99">
        <w:rPr>
          <w:rFonts w:ascii="Times" w:hAnsi="Times" w:cs="Arial"/>
          <w:color w:val="000000"/>
          <w:bdr w:val="none" w:sz="0" w:space="0" w:color="auto" w:frame="1"/>
        </w:rPr>
        <w:t xml:space="preserve"> coordinated by Advanced Technolog</w:t>
      </w:r>
      <w:r w:rsidR="005179AA">
        <w:rPr>
          <w:rFonts w:ascii="Times" w:hAnsi="Times" w:cs="Arial"/>
          <w:color w:val="000000"/>
          <w:bdr w:val="none" w:sz="0" w:space="0" w:color="auto" w:frame="1"/>
        </w:rPr>
        <w:t>y</w:t>
      </w:r>
      <w:r w:rsidRPr="00A11B99">
        <w:rPr>
          <w:rFonts w:ascii="Times" w:hAnsi="Times" w:cs="Arial"/>
          <w:color w:val="000000"/>
          <w:bdr w:val="none" w:sz="0" w:space="0" w:color="auto" w:frame="1"/>
        </w:rPr>
        <w:t xml:space="preserve"> International</w:t>
      </w:r>
      <w:r w:rsidR="009A26AB">
        <w:rPr>
          <w:rFonts w:ascii="Times" w:hAnsi="Times" w:cs="Arial"/>
          <w:color w:val="000000"/>
          <w:bdr w:val="none" w:sz="0" w:space="0" w:color="auto" w:frame="1"/>
        </w:rPr>
        <w:t xml:space="preserve"> (ATI)</w:t>
      </w:r>
      <w:r w:rsidRPr="00A11B99">
        <w:rPr>
          <w:rFonts w:ascii="Times" w:hAnsi="Times" w:cs="Arial"/>
          <w:color w:val="000000"/>
          <w:bdr w:val="none" w:sz="0" w:space="0" w:color="auto" w:frame="1"/>
        </w:rPr>
        <w:t xml:space="preserve"> and other </w:t>
      </w:r>
      <w:r w:rsidR="00CC2B7F">
        <w:rPr>
          <w:rFonts w:ascii="Times" w:hAnsi="Times" w:cs="Arial"/>
          <w:color w:val="000000"/>
          <w:bdr w:val="none" w:sz="0" w:space="0" w:color="auto" w:frame="1"/>
        </w:rPr>
        <w:t xml:space="preserve">weapons-procurement </w:t>
      </w:r>
      <w:r w:rsidRPr="00A11B99">
        <w:rPr>
          <w:rFonts w:ascii="Times" w:hAnsi="Times" w:cs="Arial"/>
          <w:color w:val="000000"/>
          <w:bdr w:val="none" w:sz="0" w:space="0" w:color="auto" w:frame="1"/>
        </w:rPr>
        <w:t>corporations.</w:t>
      </w:r>
    </w:p>
    <w:p w14:paraId="3BCBB1B9" w14:textId="77777777" w:rsidR="00CC2B7F" w:rsidRDefault="00CC2B7F" w:rsidP="00440D26">
      <w:pPr>
        <w:jc w:val="both"/>
        <w:rPr>
          <w:rFonts w:ascii="Times" w:hAnsi="Times" w:cs="Arial"/>
          <w:color w:val="000000"/>
          <w:bdr w:val="none" w:sz="0" w:space="0" w:color="auto" w:frame="1"/>
        </w:rPr>
      </w:pPr>
    </w:p>
    <w:p w14:paraId="4E03BB77" w14:textId="509C126C" w:rsidR="005179AA" w:rsidRDefault="00440D26" w:rsidP="005179AA">
      <w:pPr>
        <w:jc w:val="both"/>
        <w:rPr>
          <w:rFonts w:ascii="Times" w:hAnsi="Times" w:cs="Arial"/>
          <w:color w:val="000000"/>
          <w:bdr w:val="none" w:sz="0" w:space="0" w:color="auto" w:frame="1"/>
        </w:rPr>
      </w:pPr>
      <w:r w:rsidRPr="008740E8">
        <w:rPr>
          <w:rFonts w:ascii="Times" w:hAnsi="Times" w:cs="Arial"/>
          <w:color w:val="000000"/>
          <w:bdr w:val="none" w:sz="0" w:space="0" w:color="auto" w:frame="1"/>
        </w:rPr>
        <w:t xml:space="preserve">Key provisions </w:t>
      </w:r>
      <w:r w:rsidR="00A11B99">
        <w:rPr>
          <w:rFonts w:ascii="Times" w:hAnsi="Times" w:cs="Arial"/>
          <w:color w:val="000000"/>
          <w:bdr w:val="none" w:sz="0" w:space="0" w:color="auto" w:frame="1"/>
        </w:rPr>
        <w:t xml:space="preserve">of </w:t>
      </w:r>
      <w:r w:rsidR="00CC2B7F">
        <w:rPr>
          <w:rFonts w:ascii="Times" w:hAnsi="Times" w:cs="Arial"/>
          <w:color w:val="000000"/>
          <w:bdr w:val="none" w:sz="0" w:space="0" w:color="auto" w:frame="1"/>
        </w:rPr>
        <w:t xml:space="preserve">10 USC 4022, </w:t>
      </w:r>
      <w:r w:rsidR="00A11B99">
        <w:rPr>
          <w:rFonts w:ascii="Times" w:hAnsi="Times" w:cs="Arial"/>
          <w:color w:val="000000"/>
          <w:bdr w:val="none" w:sz="0" w:space="0" w:color="auto" w:frame="1"/>
        </w:rPr>
        <w:t xml:space="preserve">Research projects: transactions other than contracts and grants, </w:t>
      </w:r>
      <w:r w:rsidRPr="008740E8">
        <w:rPr>
          <w:rFonts w:ascii="Times" w:hAnsi="Times" w:cs="Arial"/>
          <w:color w:val="000000"/>
          <w:bdr w:val="none" w:sz="0" w:space="0" w:color="auto" w:frame="1"/>
        </w:rPr>
        <w:t>as of December</w:t>
      </w:r>
      <w:r w:rsidR="002C0CBF">
        <w:rPr>
          <w:rFonts w:ascii="Times" w:hAnsi="Times" w:cs="Arial"/>
          <w:color w:val="000000"/>
          <w:bdr w:val="none" w:sz="0" w:space="0" w:color="auto" w:frame="1"/>
        </w:rPr>
        <w:t>,</w:t>
      </w:r>
      <w:r w:rsidRPr="008740E8">
        <w:rPr>
          <w:rFonts w:ascii="Times" w:hAnsi="Times" w:cs="Arial"/>
          <w:color w:val="000000"/>
          <w:bdr w:val="none" w:sz="0" w:space="0" w:color="auto" w:frame="1"/>
        </w:rPr>
        <w:t xml:space="preserve"> 2022</w:t>
      </w:r>
      <w:r w:rsidR="002C0CBF">
        <w:rPr>
          <w:rFonts w:ascii="Times" w:hAnsi="Times" w:cs="Arial"/>
          <w:color w:val="000000"/>
          <w:bdr w:val="none" w:sz="0" w:space="0" w:color="auto" w:frame="1"/>
        </w:rPr>
        <w:t>,</w:t>
      </w:r>
      <w:r w:rsidRPr="008740E8">
        <w:rPr>
          <w:rFonts w:ascii="Times" w:hAnsi="Times" w:cs="Arial"/>
          <w:color w:val="000000"/>
          <w:bdr w:val="none" w:sz="0" w:space="0" w:color="auto" w:frame="1"/>
        </w:rPr>
        <w:t xml:space="preserve"> at footnote.</w:t>
      </w:r>
      <w:r w:rsidRPr="008740E8">
        <w:rPr>
          <w:rStyle w:val="EndnoteReference"/>
          <w:rFonts w:ascii="Times" w:hAnsi="Times" w:cs="Arial"/>
          <w:color w:val="000000"/>
          <w:bdr w:val="none" w:sz="0" w:space="0" w:color="auto" w:frame="1"/>
        </w:rPr>
        <w:endnoteReference w:id="18"/>
      </w:r>
    </w:p>
    <w:p w14:paraId="6297D9C3" w14:textId="2C8A3AEF" w:rsidR="0004495C" w:rsidRPr="00CC2B7F" w:rsidRDefault="00866361" w:rsidP="005179AA">
      <w:pPr>
        <w:jc w:val="center"/>
        <w:rPr>
          <w:rFonts w:ascii="Times" w:hAnsi="Times" w:cs="Arial"/>
          <w:color w:val="000000"/>
          <w:bdr w:val="none" w:sz="0" w:space="0" w:color="auto" w:frame="1"/>
        </w:rPr>
      </w:pPr>
      <w:r>
        <w:rPr>
          <w:rFonts w:ascii="Times" w:hAnsi="Times"/>
          <w:b/>
          <w:bCs/>
          <w:u w:val="single"/>
        </w:rPr>
        <w:lastRenderedPageBreak/>
        <w:t>COVID-19 'VACCINES' AS CASE STUDY</w:t>
      </w:r>
    </w:p>
    <w:p w14:paraId="7689F8AF" w14:textId="77777777" w:rsidR="00A11B99" w:rsidRDefault="00714D7C" w:rsidP="00DF2C53">
      <w:p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21 USC 360bbb-3(k) is a c</w:t>
      </w:r>
      <w:r w:rsidR="00CC2B7F">
        <w:rPr>
          <w:rFonts w:ascii="Times" w:hAnsi="Times" w:cstheme="minorHAnsi"/>
          <w:color w:val="000000"/>
          <w:bdr w:val="none" w:sz="0" w:space="0" w:color="auto" w:frame="1"/>
        </w:rPr>
        <w:t>rucial</w:t>
      </w:r>
      <w:r>
        <w:rPr>
          <w:rFonts w:ascii="Times" w:hAnsi="Times" w:cstheme="minorHAnsi"/>
          <w:color w:val="000000"/>
          <w:bdr w:val="none" w:sz="0" w:space="0" w:color="auto" w:frame="1"/>
        </w:rPr>
        <w:t xml:space="preserve"> provision at the intersection of the six</w:t>
      </w:r>
      <w:r w:rsidR="00CC2B7F">
        <w:rPr>
          <w:rFonts w:ascii="Times" w:hAnsi="Times" w:cstheme="minorHAnsi"/>
          <w:color w:val="000000"/>
          <w:bdr w:val="none" w:sz="0" w:space="0" w:color="auto" w:frame="1"/>
        </w:rPr>
        <w:t xml:space="preserve"> primary</w:t>
      </w:r>
      <w:r>
        <w:rPr>
          <w:rFonts w:ascii="Times" w:hAnsi="Times" w:cstheme="minorHAnsi"/>
          <w:color w:val="000000"/>
          <w:bdr w:val="none" w:sz="0" w:space="0" w:color="auto" w:frame="1"/>
        </w:rPr>
        <w:t xml:space="preserve"> statutory </w:t>
      </w:r>
      <w:r w:rsidR="00CC2B7F">
        <w:rPr>
          <w:rFonts w:ascii="Times" w:hAnsi="Times" w:cstheme="minorHAnsi"/>
          <w:color w:val="000000"/>
          <w:bdr w:val="none" w:sz="0" w:space="0" w:color="auto" w:frame="1"/>
        </w:rPr>
        <w:t>pillars</w:t>
      </w:r>
      <w:r>
        <w:rPr>
          <w:rFonts w:ascii="Times" w:hAnsi="Times" w:cstheme="minorHAnsi"/>
          <w:color w:val="000000"/>
          <w:bdr w:val="none" w:sz="0" w:space="0" w:color="auto" w:frame="1"/>
        </w:rPr>
        <w:t xml:space="preserve">. </w:t>
      </w:r>
    </w:p>
    <w:p w14:paraId="26165287" w14:textId="77777777" w:rsidR="001510B8" w:rsidRDefault="00A11B99" w:rsidP="00DF2C53">
      <w:p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This law provides that "u</w:t>
      </w:r>
      <w:r w:rsidR="00164E11" w:rsidRPr="00421244">
        <w:rPr>
          <w:rFonts w:ascii="Times" w:hAnsi="Times" w:cstheme="minorHAnsi"/>
          <w:color w:val="000000"/>
          <w:bdr w:val="none" w:sz="0" w:space="0" w:color="auto" w:frame="1"/>
        </w:rPr>
        <w:t>se</w:t>
      </w:r>
      <w:r>
        <w:rPr>
          <w:rFonts w:ascii="Times" w:hAnsi="Times" w:cstheme="minorHAnsi"/>
          <w:color w:val="000000"/>
          <w:bdr w:val="none" w:sz="0" w:space="0" w:color="auto" w:frame="1"/>
        </w:rPr>
        <w:t>"</w:t>
      </w:r>
      <w:r w:rsidR="00164E11" w:rsidRPr="00421244">
        <w:rPr>
          <w:rFonts w:ascii="Times" w:hAnsi="Times" w:cstheme="minorHAnsi"/>
          <w:color w:val="000000"/>
          <w:bdr w:val="none" w:sz="0" w:space="0" w:color="auto" w:frame="1"/>
        </w:rPr>
        <w:t xml:space="preserve"> of EUA-covered medical countermeasure (MCM) products including masks,</w:t>
      </w:r>
      <w:r>
        <w:rPr>
          <w:rFonts w:ascii="Times" w:hAnsi="Times" w:cstheme="minorHAnsi"/>
          <w:color w:val="000000"/>
          <w:bdr w:val="none" w:sz="0" w:space="0" w:color="auto" w:frame="1"/>
        </w:rPr>
        <w:t xml:space="preserve"> diagnostic</w:t>
      </w:r>
      <w:r w:rsidR="00164E11" w:rsidRPr="00421244">
        <w:rPr>
          <w:rFonts w:ascii="Times" w:hAnsi="Times" w:cstheme="minorHAnsi"/>
          <w:color w:val="000000"/>
          <w:bdr w:val="none" w:sz="0" w:space="0" w:color="auto" w:frame="1"/>
        </w:rPr>
        <w:t xml:space="preserve"> tests, </w:t>
      </w:r>
      <w:r>
        <w:rPr>
          <w:rFonts w:ascii="Times" w:hAnsi="Times" w:cstheme="minorHAnsi"/>
          <w:color w:val="000000"/>
          <w:bdr w:val="none" w:sz="0" w:space="0" w:color="auto" w:frame="1"/>
        </w:rPr>
        <w:t xml:space="preserve">bioagent </w:t>
      </w:r>
      <w:r w:rsidR="00164E11" w:rsidRPr="00421244">
        <w:rPr>
          <w:rFonts w:ascii="Times" w:hAnsi="Times" w:cstheme="minorHAnsi"/>
          <w:color w:val="000000"/>
          <w:bdr w:val="none" w:sz="0" w:space="0" w:color="auto" w:frame="1"/>
        </w:rPr>
        <w:t>injection</w:t>
      </w:r>
      <w:r>
        <w:rPr>
          <w:rFonts w:ascii="Times" w:hAnsi="Times" w:cstheme="minorHAnsi"/>
          <w:color w:val="000000"/>
          <w:bdr w:val="none" w:sz="0" w:space="0" w:color="auto" w:frame="1"/>
        </w:rPr>
        <w:t>s</w:t>
      </w:r>
      <w:r w:rsidR="00164E11" w:rsidRPr="00421244">
        <w:rPr>
          <w:rFonts w:ascii="Times" w:hAnsi="Times" w:cstheme="minorHAnsi"/>
          <w:color w:val="000000"/>
          <w:bdr w:val="none" w:sz="0" w:space="0" w:color="auto" w:frame="1"/>
        </w:rPr>
        <w:t xml:space="preserve">, and other drugs, devices and biologics, once </w:t>
      </w:r>
      <w:r>
        <w:rPr>
          <w:rFonts w:ascii="Times" w:hAnsi="Times" w:cstheme="minorHAnsi"/>
          <w:color w:val="000000"/>
          <w:bdr w:val="none" w:sz="0" w:space="0" w:color="auto" w:frame="1"/>
        </w:rPr>
        <w:t xml:space="preserve">so classified </w:t>
      </w:r>
      <w:r w:rsidR="00164E11" w:rsidRPr="00421244">
        <w:rPr>
          <w:rFonts w:ascii="Times" w:hAnsi="Times" w:cstheme="minorHAnsi"/>
          <w:color w:val="000000"/>
          <w:bdr w:val="none" w:sz="0" w:space="0" w:color="auto" w:frame="1"/>
        </w:rPr>
        <w:t xml:space="preserve">by the </w:t>
      </w:r>
      <w:r>
        <w:rPr>
          <w:rFonts w:ascii="Times" w:hAnsi="Times" w:cstheme="minorHAnsi"/>
          <w:color w:val="000000"/>
          <w:bdr w:val="none" w:sz="0" w:space="0" w:color="auto" w:frame="1"/>
        </w:rPr>
        <w:t xml:space="preserve">HHS Secretary and his/her delegees, </w:t>
      </w:r>
      <w:r w:rsidR="00164E11" w:rsidRPr="00421244">
        <w:rPr>
          <w:rFonts w:ascii="Times" w:hAnsi="Times" w:cstheme="minorHAnsi"/>
          <w:color w:val="000000"/>
          <w:bdr w:val="none" w:sz="0" w:space="0" w:color="auto" w:frame="1"/>
        </w:rPr>
        <w:t>“shall not be considered to constitute a clinical investigation.”</w:t>
      </w:r>
    </w:p>
    <w:p w14:paraId="4168CFBF" w14:textId="77777777" w:rsidR="00A11B99" w:rsidRDefault="00A11B99" w:rsidP="00DF2C53">
      <w:pPr>
        <w:pStyle w:val="NormalWeb"/>
        <w:jc w:val="both"/>
        <w:rPr>
          <w:rFonts w:ascii="Times" w:hAnsi="Times"/>
        </w:rPr>
      </w:pPr>
      <w:r>
        <w:rPr>
          <w:rFonts w:ascii="Times" w:hAnsi="Times"/>
        </w:rPr>
        <w:t xml:space="preserve">Jan. 27, 2020 was the effective date of </w:t>
      </w:r>
      <w:r w:rsidRPr="00D5101C">
        <w:rPr>
          <w:rFonts w:ascii="Times" w:hAnsi="Times"/>
        </w:rPr>
        <w:t xml:space="preserve">US Secretary of Health and Human Services </w:t>
      </w:r>
      <w:r>
        <w:rPr>
          <w:rFonts w:ascii="Times" w:hAnsi="Times"/>
        </w:rPr>
        <w:t xml:space="preserve">Alex Azar's </w:t>
      </w:r>
      <w:r w:rsidRPr="00D5101C">
        <w:rPr>
          <w:rFonts w:ascii="Times" w:hAnsi="Times"/>
          <w:i/>
          <w:iCs/>
        </w:rPr>
        <w:t>Determination that a Public Health Emergency Exists</w:t>
      </w:r>
      <w:r>
        <w:rPr>
          <w:rFonts w:ascii="Times" w:hAnsi="Times"/>
          <w:i/>
          <w:iCs/>
        </w:rPr>
        <w:t xml:space="preserve">, </w:t>
      </w:r>
      <w:r>
        <w:rPr>
          <w:rFonts w:ascii="Times" w:hAnsi="Times"/>
        </w:rPr>
        <w:t>signed Jan. 31, 2020, retroactive to Jan. 27, 2020.</w:t>
      </w:r>
      <w:r>
        <w:rPr>
          <w:rStyle w:val="EndnoteReference"/>
          <w:rFonts w:ascii="Times" w:hAnsi="Times"/>
        </w:rPr>
        <w:endnoteReference w:id="19"/>
      </w:r>
      <w:r>
        <w:rPr>
          <w:rFonts w:ascii="Times" w:hAnsi="Times"/>
        </w:rPr>
        <w:t xml:space="preserve"> It has been extended continuously since, most recently by HHS Secretary Xavier Becerra on Oct. 13, 2022.</w:t>
      </w:r>
    </w:p>
    <w:p w14:paraId="6CF6AFE5" w14:textId="2BFBC373" w:rsidR="00A11B99" w:rsidRPr="00A11B99" w:rsidRDefault="00C3665B" w:rsidP="00DF2C53">
      <w:pPr>
        <w:pStyle w:val="NormalWeb"/>
        <w:jc w:val="both"/>
        <w:rPr>
          <w:rFonts w:ascii="Times" w:hAnsi="Times"/>
        </w:rPr>
      </w:pPr>
      <w:r>
        <w:rPr>
          <w:rFonts w:ascii="Times" w:hAnsi="Times"/>
        </w:rPr>
        <w:t>Effective</w:t>
      </w:r>
      <w:r w:rsidR="00A11B99">
        <w:rPr>
          <w:rFonts w:ascii="Times" w:hAnsi="Times"/>
        </w:rPr>
        <w:t xml:space="preserve"> Feb. 04, 2020, HHS Secretary Azar issued Notice of </w:t>
      </w:r>
      <w:r w:rsidR="00A11B99" w:rsidRPr="00D5101C">
        <w:rPr>
          <w:rFonts w:ascii="Times" w:hAnsi="Times"/>
          <w:i/>
          <w:iCs/>
        </w:rPr>
        <w:t>Declaration Under the Public Readiness and Emergency Preparedness Act for Medical Countermeasures Against COVID–19</w:t>
      </w:r>
      <w:r w:rsidR="00A11B99">
        <w:rPr>
          <w:rFonts w:ascii="Times" w:hAnsi="Times"/>
        </w:rPr>
        <w:t>.</w:t>
      </w:r>
      <w:r w:rsidR="00A11B99">
        <w:rPr>
          <w:rStyle w:val="EndnoteReference"/>
          <w:rFonts w:ascii="Times" w:hAnsi="Times"/>
        </w:rPr>
        <w:endnoteReference w:id="20"/>
      </w:r>
    </w:p>
    <w:p w14:paraId="4EC6D868" w14:textId="77777777" w:rsidR="001510B8" w:rsidRDefault="001510B8" w:rsidP="00DF2C53">
      <w:p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 xml:space="preserve">To the extent that "use" of </w:t>
      </w:r>
      <w:r w:rsidR="00CC2B7F">
        <w:rPr>
          <w:rFonts w:ascii="Times" w:hAnsi="Times" w:cstheme="minorHAnsi"/>
          <w:color w:val="000000"/>
          <w:bdr w:val="none" w:sz="0" w:space="0" w:color="auto" w:frame="1"/>
        </w:rPr>
        <w:t xml:space="preserve">Covid-19 </w:t>
      </w:r>
      <w:r>
        <w:rPr>
          <w:rFonts w:ascii="Times" w:hAnsi="Times" w:cstheme="minorHAnsi"/>
          <w:color w:val="000000"/>
          <w:bdr w:val="none" w:sz="0" w:space="0" w:color="auto" w:frame="1"/>
        </w:rPr>
        <w:t>products</w:t>
      </w:r>
      <w:r w:rsidR="00CC2B7F">
        <w:rPr>
          <w:rFonts w:ascii="Times" w:hAnsi="Times" w:cstheme="minorHAnsi"/>
          <w:color w:val="000000"/>
          <w:bdr w:val="none" w:sz="0" w:space="0" w:color="auto" w:frame="1"/>
        </w:rPr>
        <w:t xml:space="preserve"> after Feb. 04, 2020</w:t>
      </w:r>
      <w:r>
        <w:rPr>
          <w:rFonts w:ascii="Times" w:hAnsi="Times" w:cstheme="minorHAnsi"/>
          <w:color w:val="000000"/>
          <w:bdr w:val="none" w:sz="0" w:space="0" w:color="auto" w:frame="1"/>
        </w:rPr>
        <w:t xml:space="preserve"> "shall not constitute clinical investigation," use of such products is authorized even if there is no safety or efficacy data, even if such products are toxic and ineffective.</w:t>
      </w:r>
    </w:p>
    <w:p w14:paraId="3D68DD21" w14:textId="5B03B7D2" w:rsidR="00164E11" w:rsidRDefault="001510B8" w:rsidP="00DF2C53">
      <w:p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Investigators, researchers, physicians, nurses</w:t>
      </w:r>
      <w:r w:rsidR="005179AA">
        <w:rPr>
          <w:rFonts w:ascii="Times" w:hAnsi="Times" w:cstheme="minorHAnsi"/>
          <w:color w:val="000000"/>
          <w:bdr w:val="none" w:sz="0" w:space="0" w:color="auto" w:frame="1"/>
        </w:rPr>
        <w:t>, pharmacists</w:t>
      </w:r>
      <w:r>
        <w:rPr>
          <w:rFonts w:ascii="Times" w:hAnsi="Times" w:cstheme="minorHAnsi"/>
          <w:color w:val="000000"/>
          <w:bdr w:val="none" w:sz="0" w:space="0" w:color="auto" w:frame="1"/>
        </w:rPr>
        <w:t xml:space="preserve"> and other individuals involved in product </w:t>
      </w:r>
      <w:r w:rsidR="005179AA">
        <w:rPr>
          <w:rFonts w:ascii="Times" w:hAnsi="Times" w:cstheme="minorHAnsi"/>
          <w:color w:val="000000"/>
          <w:bdr w:val="none" w:sz="0" w:space="0" w:color="auto" w:frame="1"/>
        </w:rPr>
        <w:t xml:space="preserve">dispensing, </w:t>
      </w:r>
      <w:r>
        <w:rPr>
          <w:rFonts w:ascii="Times" w:hAnsi="Times" w:cstheme="minorHAnsi"/>
          <w:color w:val="000000"/>
          <w:bdr w:val="none" w:sz="0" w:space="0" w:color="auto" w:frame="1"/>
        </w:rPr>
        <w:t>use</w:t>
      </w:r>
      <w:r w:rsidR="005179AA">
        <w:rPr>
          <w:rFonts w:ascii="Times" w:hAnsi="Times" w:cstheme="minorHAnsi"/>
          <w:color w:val="000000"/>
          <w:bdr w:val="none" w:sz="0" w:space="0" w:color="auto" w:frame="1"/>
        </w:rPr>
        <w:t>,</w:t>
      </w:r>
      <w:r>
        <w:rPr>
          <w:rFonts w:ascii="Times" w:hAnsi="Times" w:cstheme="minorHAnsi"/>
          <w:color w:val="000000"/>
          <w:bdr w:val="none" w:sz="0" w:space="0" w:color="auto" w:frame="1"/>
        </w:rPr>
        <w:t xml:space="preserve"> or administration to human beings </w:t>
      </w:r>
      <w:r w:rsidR="00CC2B7F">
        <w:rPr>
          <w:rFonts w:ascii="Times" w:hAnsi="Times" w:cstheme="minorHAnsi"/>
          <w:color w:val="000000"/>
          <w:bdr w:val="none" w:sz="0" w:space="0" w:color="auto" w:frame="1"/>
        </w:rPr>
        <w:t xml:space="preserve">apparently </w:t>
      </w:r>
      <w:r>
        <w:rPr>
          <w:rFonts w:ascii="Times" w:hAnsi="Times" w:cstheme="minorHAnsi"/>
          <w:color w:val="000000"/>
          <w:bdr w:val="none" w:sz="0" w:space="0" w:color="auto" w:frame="1"/>
        </w:rPr>
        <w:t xml:space="preserve">have </w:t>
      </w:r>
      <w:r w:rsidR="00CC2B7F">
        <w:rPr>
          <w:rFonts w:ascii="Times" w:hAnsi="Times" w:cstheme="minorHAnsi"/>
          <w:color w:val="000000"/>
          <w:bdr w:val="none" w:sz="0" w:space="0" w:color="auto" w:frame="1"/>
        </w:rPr>
        <w:t>had</w:t>
      </w:r>
      <w:r w:rsidR="00DF2C53">
        <w:rPr>
          <w:rFonts w:ascii="Times" w:hAnsi="Times" w:cstheme="minorHAnsi"/>
          <w:color w:val="000000"/>
          <w:bdr w:val="none" w:sz="0" w:space="0" w:color="auto" w:frame="1"/>
        </w:rPr>
        <w:t xml:space="preserve"> and today have</w:t>
      </w:r>
      <w:r w:rsidR="00CC2B7F">
        <w:rPr>
          <w:rFonts w:ascii="Times" w:hAnsi="Times" w:cstheme="minorHAnsi"/>
          <w:color w:val="000000"/>
          <w:bdr w:val="none" w:sz="0" w:space="0" w:color="auto" w:frame="1"/>
        </w:rPr>
        <w:t xml:space="preserve"> </w:t>
      </w:r>
      <w:r>
        <w:rPr>
          <w:rFonts w:ascii="Times" w:hAnsi="Times" w:cstheme="minorHAnsi"/>
          <w:color w:val="000000"/>
          <w:bdr w:val="none" w:sz="0" w:space="0" w:color="auto" w:frame="1"/>
        </w:rPr>
        <w:t>no legal obligations to comply with laws and regulations that appl</w:t>
      </w:r>
      <w:r w:rsidR="00CC2B7F">
        <w:rPr>
          <w:rFonts w:ascii="Times" w:hAnsi="Times" w:cstheme="minorHAnsi"/>
          <w:color w:val="000000"/>
          <w:bdr w:val="none" w:sz="0" w:space="0" w:color="auto" w:frame="1"/>
        </w:rPr>
        <w:t>ied previously</w:t>
      </w:r>
      <w:r>
        <w:rPr>
          <w:rFonts w:ascii="Times" w:hAnsi="Times" w:cstheme="minorHAnsi"/>
          <w:color w:val="000000"/>
          <w:bdr w:val="none" w:sz="0" w:space="0" w:color="auto" w:frame="1"/>
        </w:rPr>
        <w:t xml:space="preserve"> to use of experimental</w:t>
      </w:r>
      <w:r w:rsidR="00CC2B7F">
        <w:rPr>
          <w:rFonts w:ascii="Times" w:hAnsi="Times" w:cstheme="minorHAnsi"/>
          <w:color w:val="000000"/>
          <w:bdr w:val="none" w:sz="0" w:space="0" w:color="auto" w:frame="1"/>
        </w:rPr>
        <w:t>, investigational, unapproved</w:t>
      </w:r>
      <w:r>
        <w:rPr>
          <w:rFonts w:ascii="Times" w:hAnsi="Times" w:cstheme="minorHAnsi"/>
          <w:color w:val="000000"/>
          <w:bdr w:val="none" w:sz="0" w:space="0" w:color="auto" w:frame="1"/>
        </w:rPr>
        <w:t xml:space="preserve"> or approved biological products or devices, including</w:t>
      </w:r>
      <w:r w:rsidR="00CC2B7F">
        <w:rPr>
          <w:rFonts w:ascii="Times" w:hAnsi="Times" w:cstheme="minorHAnsi"/>
          <w:color w:val="000000"/>
          <w:bdr w:val="none" w:sz="0" w:space="0" w:color="auto" w:frame="1"/>
        </w:rPr>
        <w:t xml:space="preserve"> compliance with informed consent laws,</w:t>
      </w:r>
      <w:r>
        <w:rPr>
          <w:rFonts w:ascii="Times" w:hAnsi="Times" w:cstheme="minorHAnsi"/>
          <w:color w:val="000000"/>
          <w:bdr w:val="none" w:sz="0" w:space="0" w:color="auto" w:frame="1"/>
        </w:rPr>
        <w:t xml:space="preserve"> </w:t>
      </w:r>
      <w:r w:rsidR="00347410">
        <w:rPr>
          <w:rFonts w:ascii="Times" w:hAnsi="Times" w:cstheme="minorHAnsi"/>
          <w:color w:val="000000"/>
          <w:bdr w:val="none" w:sz="0" w:space="0" w:color="auto" w:frame="1"/>
        </w:rPr>
        <w:t xml:space="preserve">medical </w:t>
      </w:r>
      <w:r>
        <w:rPr>
          <w:rFonts w:ascii="Times" w:hAnsi="Times" w:cstheme="minorHAnsi"/>
          <w:color w:val="000000"/>
          <w:bdr w:val="none" w:sz="0" w:space="0" w:color="auto" w:frame="1"/>
        </w:rPr>
        <w:t xml:space="preserve">monitoring of recipients </w:t>
      </w:r>
      <w:r w:rsidR="00347410">
        <w:rPr>
          <w:rFonts w:ascii="Times" w:hAnsi="Times" w:cstheme="minorHAnsi"/>
          <w:color w:val="000000"/>
          <w:bdr w:val="none" w:sz="0" w:space="0" w:color="auto" w:frame="1"/>
        </w:rPr>
        <w:t>during product use</w:t>
      </w:r>
      <w:r w:rsidR="005179AA">
        <w:rPr>
          <w:rFonts w:ascii="Times" w:hAnsi="Times" w:cstheme="minorHAnsi"/>
          <w:color w:val="000000"/>
          <w:bdr w:val="none" w:sz="0" w:space="0" w:color="auto" w:frame="1"/>
        </w:rPr>
        <w:t xml:space="preserve"> and</w:t>
      </w:r>
      <w:r w:rsidR="00347410">
        <w:rPr>
          <w:rFonts w:ascii="Times" w:hAnsi="Times" w:cstheme="minorHAnsi"/>
          <w:color w:val="000000"/>
          <w:bdr w:val="none" w:sz="0" w:space="0" w:color="auto" w:frame="1"/>
        </w:rPr>
        <w:t xml:space="preserve"> post-administration monitoring </w:t>
      </w:r>
      <w:r w:rsidR="005179AA">
        <w:rPr>
          <w:rFonts w:ascii="Times" w:hAnsi="Times" w:cstheme="minorHAnsi"/>
          <w:color w:val="000000"/>
          <w:bdr w:val="none" w:sz="0" w:space="0" w:color="auto" w:frame="1"/>
        </w:rPr>
        <w:t>and reporting of</w:t>
      </w:r>
      <w:r>
        <w:rPr>
          <w:rFonts w:ascii="Times" w:hAnsi="Times" w:cstheme="minorHAnsi"/>
          <w:color w:val="000000"/>
          <w:bdr w:val="none" w:sz="0" w:space="0" w:color="auto" w:frame="1"/>
        </w:rPr>
        <w:t xml:space="preserve"> adverse effects</w:t>
      </w:r>
      <w:r w:rsidR="00CC2B7F">
        <w:rPr>
          <w:rFonts w:ascii="Times" w:hAnsi="Times" w:cstheme="minorHAnsi"/>
          <w:color w:val="000000"/>
          <w:bdr w:val="none" w:sz="0" w:space="0" w:color="auto" w:frame="1"/>
        </w:rPr>
        <w:t>.</w:t>
      </w:r>
    </w:p>
    <w:p w14:paraId="7AF82289" w14:textId="77777777" w:rsidR="00164E11" w:rsidRPr="00421244" w:rsidRDefault="001510B8" w:rsidP="00DF2C53">
      <w:p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Recipients of such products are not legally recognized as experimental subjects or patients receiving experimental, authorized or approved products, because "use" of the products "shall not constitute clinical investigation."</w:t>
      </w:r>
      <w:r w:rsidR="00CC2B7F">
        <w:rPr>
          <w:rFonts w:ascii="Times" w:hAnsi="Times" w:cstheme="minorHAnsi"/>
          <w:color w:val="000000"/>
          <w:bdr w:val="none" w:sz="0" w:space="0" w:color="auto" w:frame="1"/>
        </w:rPr>
        <w:t xml:space="preserve"> </w:t>
      </w:r>
      <w:r w:rsidR="00164E11" w:rsidRPr="00421244">
        <w:rPr>
          <w:rFonts w:ascii="Times" w:hAnsi="Times" w:cstheme="minorHAnsi"/>
          <w:color w:val="000000"/>
          <w:bdr w:val="none" w:sz="0" w:space="0" w:color="auto" w:frame="1"/>
        </w:rPr>
        <w:t>There is no stopping condition</w:t>
      </w:r>
      <w:r>
        <w:rPr>
          <w:rFonts w:ascii="Times" w:hAnsi="Times" w:cstheme="minorHAnsi"/>
          <w:color w:val="000000"/>
          <w:bdr w:val="none" w:sz="0" w:space="0" w:color="auto" w:frame="1"/>
        </w:rPr>
        <w:t>, because there is no legally-relevant "clinical investigation" to be stopped.</w:t>
      </w:r>
    </w:p>
    <w:p w14:paraId="1C51E306" w14:textId="77777777" w:rsidR="00347410" w:rsidRDefault="00347410" w:rsidP="00DF2C53">
      <w:p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On the basis of a self-declared "public health emergency" and self-declared classification of products as "emergency use medical countermeasures," including an unreviewable determination as to the relative risks posed by a communicable pathogen as compared to "medical countermeasure" products, t</w:t>
      </w:r>
      <w:r w:rsidR="001510B8">
        <w:rPr>
          <w:rFonts w:ascii="Times" w:hAnsi="Times" w:cstheme="minorHAnsi"/>
          <w:color w:val="000000"/>
          <w:bdr w:val="none" w:sz="0" w:space="0" w:color="auto" w:frame="1"/>
        </w:rPr>
        <w:t>he Secretary of Health and Human Services can suspend informed consent obligations and rights, on behalf of the entire American population</w:t>
      </w:r>
      <w:r>
        <w:rPr>
          <w:rFonts w:ascii="Times" w:hAnsi="Times" w:cstheme="minorHAnsi"/>
          <w:color w:val="000000"/>
          <w:bdr w:val="none" w:sz="0" w:space="0" w:color="auto" w:frame="1"/>
        </w:rPr>
        <w:t>.</w:t>
      </w:r>
    </w:p>
    <w:p w14:paraId="0C7F1D66" w14:textId="2C4E9C0D" w:rsidR="00D30FFC" w:rsidRDefault="00347410" w:rsidP="00DF2C53">
      <w:p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 xml:space="preserve">"Vaccinators" are thereby authorized by the HHS Secretary to </w:t>
      </w:r>
      <w:r w:rsidR="001510B8">
        <w:rPr>
          <w:rFonts w:ascii="Times" w:hAnsi="Times" w:cstheme="minorHAnsi"/>
          <w:color w:val="000000"/>
          <w:bdr w:val="none" w:sz="0" w:space="0" w:color="auto" w:frame="1"/>
        </w:rPr>
        <w:t xml:space="preserve">withhold information about product </w:t>
      </w:r>
      <w:r w:rsidR="00164E11" w:rsidRPr="00421244">
        <w:rPr>
          <w:rFonts w:ascii="Times" w:hAnsi="Times" w:cstheme="minorHAnsi"/>
          <w:color w:val="000000"/>
          <w:bdr w:val="none" w:sz="0" w:space="0" w:color="auto" w:frame="1"/>
        </w:rPr>
        <w:t>ingredients</w:t>
      </w:r>
      <w:r w:rsidR="00C3665B">
        <w:rPr>
          <w:rFonts w:ascii="Times" w:hAnsi="Times" w:cstheme="minorHAnsi"/>
          <w:color w:val="000000"/>
          <w:bdr w:val="none" w:sz="0" w:space="0" w:color="auto" w:frame="1"/>
        </w:rPr>
        <w:t>;</w:t>
      </w:r>
      <w:r w:rsidR="00164E11" w:rsidRPr="00421244">
        <w:rPr>
          <w:rFonts w:ascii="Times" w:hAnsi="Times" w:cstheme="minorHAnsi"/>
          <w:color w:val="000000"/>
          <w:bdr w:val="none" w:sz="0" w:space="0" w:color="auto" w:frame="1"/>
        </w:rPr>
        <w:t xml:space="preserve"> </w:t>
      </w:r>
      <w:r w:rsidR="001510B8">
        <w:rPr>
          <w:rFonts w:ascii="Times" w:hAnsi="Times" w:cstheme="minorHAnsi"/>
          <w:color w:val="000000"/>
          <w:bdr w:val="none" w:sz="0" w:space="0" w:color="auto" w:frame="1"/>
        </w:rPr>
        <w:t>vial contents</w:t>
      </w:r>
      <w:r w:rsidR="00C3665B">
        <w:rPr>
          <w:rFonts w:ascii="Times" w:hAnsi="Times" w:cstheme="minorHAnsi"/>
          <w:color w:val="000000"/>
          <w:bdr w:val="none" w:sz="0" w:space="0" w:color="auto" w:frame="1"/>
        </w:rPr>
        <w:t>;</w:t>
      </w:r>
      <w:r w:rsidR="001510B8">
        <w:rPr>
          <w:rFonts w:ascii="Times" w:hAnsi="Times" w:cstheme="minorHAnsi"/>
          <w:color w:val="000000"/>
          <w:bdr w:val="none" w:sz="0" w:space="0" w:color="auto" w:frame="1"/>
        </w:rPr>
        <w:t xml:space="preserve"> </w:t>
      </w:r>
      <w:r>
        <w:rPr>
          <w:rFonts w:ascii="Times" w:hAnsi="Times" w:cstheme="minorHAnsi"/>
          <w:color w:val="000000"/>
          <w:bdr w:val="none" w:sz="0" w:space="0" w:color="auto" w:frame="1"/>
        </w:rPr>
        <w:t xml:space="preserve">potential individual </w:t>
      </w:r>
      <w:r w:rsidR="00164E11" w:rsidRPr="00421244">
        <w:rPr>
          <w:rFonts w:ascii="Times" w:hAnsi="Times" w:cstheme="minorHAnsi"/>
          <w:color w:val="000000"/>
          <w:bdr w:val="none" w:sz="0" w:space="0" w:color="auto" w:frame="1"/>
        </w:rPr>
        <w:t>risks</w:t>
      </w:r>
      <w:r>
        <w:rPr>
          <w:rFonts w:ascii="Times" w:hAnsi="Times" w:cstheme="minorHAnsi"/>
          <w:color w:val="000000"/>
          <w:bdr w:val="none" w:sz="0" w:space="0" w:color="auto" w:frame="1"/>
        </w:rPr>
        <w:t xml:space="preserve"> and </w:t>
      </w:r>
      <w:r w:rsidR="00164E11" w:rsidRPr="00421244">
        <w:rPr>
          <w:rFonts w:ascii="Times" w:hAnsi="Times" w:cstheme="minorHAnsi"/>
          <w:color w:val="000000"/>
          <w:bdr w:val="none" w:sz="0" w:space="0" w:color="auto" w:frame="1"/>
        </w:rPr>
        <w:t>benefits</w:t>
      </w:r>
      <w:r>
        <w:rPr>
          <w:rFonts w:ascii="Times" w:hAnsi="Times" w:cstheme="minorHAnsi"/>
          <w:color w:val="000000"/>
          <w:bdr w:val="none" w:sz="0" w:space="0" w:color="auto" w:frame="1"/>
        </w:rPr>
        <w:t xml:space="preserve"> based on individual health conditions</w:t>
      </w:r>
      <w:r w:rsidR="00C3665B">
        <w:rPr>
          <w:rFonts w:ascii="Times" w:hAnsi="Times" w:cstheme="minorHAnsi"/>
          <w:color w:val="000000"/>
          <w:bdr w:val="none" w:sz="0" w:space="0" w:color="auto" w:frame="1"/>
        </w:rPr>
        <w:t>;</w:t>
      </w:r>
      <w:r w:rsidR="00164E11" w:rsidRPr="00421244">
        <w:rPr>
          <w:rFonts w:ascii="Times" w:hAnsi="Times" w:cstheme="minorHAnsi"/>
          <w:color w:val="000000"/>
          <w:bdr w:val="none" w:sz="0" w:space="0" w:color="auto" w:frame="1"/>
        </w:rPr>
        <w:t xml:space="preserve"> </w:t>
      </w:r>
      <w:r>
        <w:rPr>
          <w:rFonts w:ascii="Times" w:hAnsi="Times" w:cstheme="minorHAnsi"/>
          <w:color w:val="000000"/>
          <w:bdr w:val="none" w:sz="0" w:space="0" w:color="auto" w:frame="1"/>
        </w:rPr>
        <w:t xml:space="preserve">treatment </w:t>
      </w:r>
      <w:r w:rsidR="00164E11" w:rsidRPr="00421244">
        <w:rPr>
          <w:rFonts w:ascii="Times" w:hAnsi="Times" w:cstheme="minorHAnsi"/>
          <w:color w:val="000000"/>
          <w:bdr w:val="none" w:sz="0" w:space="0" w:color="auto" w:frame="1"/>
        </w:rPr>
        <w:t>alternatives</w:t>
      </w:r>
      <w:r w:rsidR="00C3665B">
        <w:rPr>
          <w:rFonts w:ascii="Times" w:hAnsi="Times" w:cstheme="minorHAnsi"/>
          <w:color w:val="000000"/>
          <w:bdr w:val="none" w:sz="0" w:space="0" w:color="auto" w:frame="1"/>
        </w:rPr>
        <w:t>;</w:t>
      </w:r>
      <w:r w:rsidR="00164E11" w:rsidRPr="00421244">
        <w:rPr>
          <w:rFonts w:ascii="Times" w:hAnsi="Times" w:cstheme="minorHAnsi"/>
          <w:color w:val="000000"/>
          <w:bdr w:val="none" w:sz="0" w:space="0" w:color="auto" w:frame="1"/>
        </w:rPr>
        <w:t xml:space="preserve"> </w:t>
      </w:r>
      <w:r>
        <w:rPr>
          <w:rFonts w:ascii="Times" w:hAnsi="Times" w:cstheme="minorHAnsi"/>
          <w:color w:val="000000"/>
          <w:bdr w:val="none" w:sz="0" w:space="0" w:color="auto" w:frame="1"/>
        </w:rPr>
        <w:t>and</w:t>
      </w:r>
      <w:r w:rsidR="00164E11" w:rsidRPr="00421244">
        <w:rPr>
          <w:rFonts w:ascii="Times" w:hAnsi="Times" w:cstheme="minorHAnsi"/>
          <w:color w:val="000000"/>
          <w:bdr w:val="none" w:sz="0" w:space="0" w:color="auto" w:frame="1"/>
        </w:rPr>
        <w:t xml:space="preserve"> the option to accept or refuse the products</w:t>
      </w:r>
      <w:r>
        <w:rPr>
          <w:rFonts w:ascii="Times" w:hAnsi="Times" w:cstheme="minorHAnsi"/>
          <w:color w:val="000000"/>
          <w:bdr w:val="none" w:sz="0" w:space="0" w:color="auto" w:frame="1"/>
        </w:rPr>
        <w:t xml:space="preserve">. </w:t>
      </w:r>
    </w:p>
    <w:p w14:paraId="4D00E9C7" w14:textId="77777777" w:rsidR="005179AA" w:rsidRDefault="005179AA" w:rsidP="00DF2C53">
      <w:pPr>
        <w:spacing w:beforeAutospacing="1" w:afterAutospacing="1"/>
        <w:jc w:val="both"/>
        <w:textAlignment w:val="baseline"/>
        <w:rPr>
          <w:rFonts w:ascii="Times" w:hAnsi="Times" w:cstheme="minorHAnsi"/>
          <w:i/>
          <w:iCs/>
          <w:color w:val="000000"/>
          <w:bdr w:val="none" w:sz="0" w:space="0" w:color="auto" w:frame="1"/>
        </w:rPr>
      </w:pPr>
    </w:p>
    <w:p w14:paraId="4996C2D9" w14:textId="77777777" w:rsidR="005179AA" w:rsidRDefault="005179AA" w:rsidP="00DF2C53">
      <w:pPr>
        <w:spacing w:beforeAutospacing="1" w:afterAutospacing="1"/>
        <w:jc w:val="both"/>
        <w:textAlignment w:val="baseline"/>
        <w:rPr>
          <w:rFonts w:ascii="Times" w:hAnsi="Times" w:cstheme="minorHAnsi"/>
          <w:i/>
          <w:iCs/>
          <w:color w:val="000000"/>
          <w:bdr w:val="none" w:sz="0" w:space="0" w:color="auto" w:frame="1"/>
        </w:rPr>
      </w:pPr>
    </w:p>
    <w:p w14:paraId="039778B9" w14:textId="37155CD2" w:rsidR="00D30FFC" w:rsidRPr="00D30FFC" w:rsidRDefault="00DC5102" w:rsidP="00DF2C53">
      <w:pPr>
        <w:spacing w:beforeAutospacing="1" w:afterAutospacing="1"/>
        <w:jc w:val="both"/>
        <w:textAlignment w:val="baseline"/>
        <w:rPr>
          <w:rFonts w:ascii="Times" w:hAnsi="Times" w:cstheme="minorHAnsi"/>
          <w:i/>
          <w:iCs/>
          <w:color w:val="000000"/>
          <w:bdr w:val="none" w:sz="0" w:space="0" w:color="auto" w:frame="1"/>
        </w:rPr>
      </w:pPr>
      <w:r>
        <w:rPr>
          <w:rFonts w:ascii="Times" w:hAnsi="Times" w:cstheme="minorHAnsi"/>
          <w:i/>
          <w:iCs/>
          <w:color w:val="000000"/>
          <w:bdr w:val="none" w:sz="0" w:space="0" w:color="auto" w:frame="1"/>
        </w:rPr>
        <w:lastRenderedPageBreak/>
        <w:t>P</w:t>
      </w:r>
      <w:r w:rsidR="00D30FFC" w:rsidRPr="00D30FFC">
        <w:rPr>
          <w:rFonts w:ascii="Times" w:hAnsi="Times" w:cstheme="minorHAnsi"/>
          <w:i/>
          <w:iCs/>
          <w:color w:val="000000"/>
          <w:bdr w:val="none" w:sz="0" w:space="0" w:color="auto" w:frame="1"/>
        </w:rPr>
        <w:t>rovisions</w:t>
      </w:r>
      <w:r>
        <w:rPr>
          <w:rFonts w:ascii="Times" w:hAnsi="Times" w:cstheme="minorHAnsi"/>
          <w:i/>
          <w:iCs/>
          <w:color w:val="000000"/>
          <w:bdr w:val="none" w:sz="0" w:space="0" w:color="auto" w:frame="1"/>
        </w:rPr>
        <w:t xml:space="preserve"> include</w:t>
      </w:r>
      <w:r w:rsidR="00D30FFC" w:rsidRPr="00D30FFC">
        <w:rPr>
          <w:rFonts w:ascii="Times" w:hAnsi="Times" w:cstheme="minorHAnsi"/>
          <w:i/>
          <w:iCs/>
          <w:color w:val="000000"/>
          <w:bdr w:val="none" w:sz="0" w:space="0" w:color="auto" w:frame="1"/>
        </w:rPr>
        <w:t>:</w:t>
      </w:r>
    </w:p>
    <w:p w14:paraId="64FEFA31" w14:textId="0DDF14BE" w:rsidR="00CA0C5D" w:rsidRDefault="00A55B8E"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 xml:space="preserve">10 USC 4022: </w:t>
      </w:r>
      <w:r w:rsidR="00164E11" w:rsidRPr="00D30FFC">
        <w:rPr>
          <w:rFonts w:ascii="Times" w:hAnsi="Times" w:cstheme="minorHAnsi"/>
          <w:color w:val="000000"/>
          <w:bdr w:val="none" w:sz="0" w:space="0" w:color="auto" w:frame="1"/>
        </w:rPr>
        <w:t xml:space="preserve">DOD is authorized to contract with pharmaceutical corporations to </w:t>
      </w:r>
      <w:r w:rsidR="00CC2B7F" w:rsidRPr="00D30FFC">
        <w:rPr>
          <w:rFonts w:ascii="Times" w:hAnsi="Times" w:cstheme="minorHAnsi"/>
          <w:color w:val="000000"/>
          <w:bdr w:val="none" w:sz="0" w:space="0" w:color="auto" w:frame="1"/>
        </w:rPr>
        <w:t>produc</w:t>
      </w:r>
      <w:r w:rsidR="009A26AB">
        <w:rPr>
          <w:rFonts w:ascii="Times" w:hAnsi="Times" w:cstheme="minorHAnsi"/>
          <w:color w:val="000000"/>
          <w:bdr w:val="none" w:sz="0" w:space="0" w:color="auto" w:frame="1"/>
        </w:rPr>
        <w:t>e</w:t>
      </w:r>
      <w:r w:rsidR="00CC2B7F" w:rsidRPr="00D30FFC">
        <w:rPr>
          <w:rFonts w:ascii="Times" w:hAnsi="Times" w:cstheme="minorHAnsi"/>
          <w:color w:val="000000"/>
          <w:bdr w:val="none" w:sz="0" w:space="0" w:color="auto" w:frame="1"/>
        </w:rPr>
        <w:t xml:space="preserve"> and distribute</w:t>
      </w:r>
      <w:r w:rsidR="00164E11" w:rsidRPr="00D30FFC">
        <w:rPr>
          <w:rFonts w:ascii="Times" w:hAnsi="Times" w:cstheme="minorHAnsi"/>
          <w:color w:val="000000"/>
          <w:bdr w:val="none" w:sz="0" w:space="0" w:color="auto" w:frame="1"/>
        </w:rPr>
        <w:t xml:space="preserve"> ‘prototype’ </w:t>
      </w:r>
      <w:r w:rsidR="00CC2B7F" w:rsidRPr="00D30FFC">
        <w:rPr>
          <w:rFonts w:ascii="Times" w:hAnsi="Times" w:cstheme="minorHAnsi"/>
          <w:color w:val="000000"/>
          <w:bdr w:val="none" w:sz="0" w:space="0" w:color="auto" w:frame="1"/>
        </w:rPr>
        <w:t>products for use on</w:t>
      </w:r>
      <w:r w:rsidR="00164E11" w:rsidRPr="00D30FFC">
        <w:rPr>
          <w:rFonts w:ascii="Times" w:hAnsi="Times" w:cstheme="minorHAnsi"/>
          <w:color w:val="000000"/>
          <w:bdr w:val="none" w:sz="0" w:space="0" w:color="auto" w:frame="1"/>
        </w:rPr>
        <w:t xml:space="preserve"> the general public</w:t>
      </w:r>
      <w:r w:rsidR="005179AA">
        <w:rPr>
          <w:rFonts w:ascii="Times" w:hAnsi="Times" w:cstheme="minorHAnsi"/>
          <w:color w:val="000000"/>
          <w:bdr w:val="none" w:sz="0" w:space="0" w:color="auto" w:frame="1"/>
        </w:rPr>
        <w:t>.</w:t>
      </w:r>
    </w:p>
    <w:p w14:paraId="24D1115B" w14:textId="3346B333" w:rsidR="00D30FFC" w:rsidRPr="00CA0C5D" w:rsidRDefault="00D30FFC"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CA0C5D">
        <w:rPr>
          <w:rFonts w:ascii="Times" w:hAnsi="Times" w:cstheme="minorHAnsi"/>
          <w:color w:val="000000"/>
          <w:bdr w:val="none" w:sz="0" w:space="0" w:color="auto" w:frame="1"/>
        </w:rPr>
        <w:t xml:space="preserve">21 USC 360bbb-3(c)(2)(A): </w:t>
      </w:r>
      <w:r w:rsidR="005179AA">
        <w:rPr>
          <w:rFonts w:ascii="Times" w:hAnsi="Times" w:cstheme="minorHAnsi"/>
          <w:color w:val="000000"/>
          <w:bdr w:val="none" w:sz="0" w:space="0" w:color="auto" w:frame="1"/>
        </w:rPr>
        <w:t>T</w:t>
      </w:r>
      <w:r w:rsidRPr="00CA0C5D">
        <w:rPr>
          <w:rFonts w:ascii="Times" w:hAnsi="Times" w:cstheme="minorHAnsi"/>
          <w:color w:val="000000"/>
          <w:bdr w:val="none" w:sz="0" w:space="0" w:color="auto" w:frame="1"/>
        </w:rPr>
        <w:t xml:space="preserve">he only required product </w:t>
      </w:r>
      <w:r w:rsidRPr="00CA0C5D">
        <w:rPr>
          <w:rFonts w:ascii="Times" w:hAnsi="Times" w:cstheme="minorHAnsi"/>
          <w:b/>
          <w:bCs/>
          <w:color w:val="000000"/>
          <w:bdr w:val="none" w:sz="0" w:space="0" w:color="auto" w:frame="1"/>
        </w:rPr>
        <w:t>efficacy</w:t>
      </w:r>
      <w:r w:rsidRPr="00CA0C5D">
        <w:rPr>
          <w:rFonts w:ascii="Times" w:hAnsi="Times" w:cstheme="minorHAnsi"/>
          <w:color w:val="000000"/>
          <w:bdr w:val="none" w:sz="0" w:space="0" w:color="auto" w:frame="1"/>
        </w:rPr>
        <w:t xml:space="preserve"> standard authorizing "use" of such products is that </w:t>
      </w:r>
      <w:r w:rsidR="00CA0C5D">
        <w:rPr>
          <w:rStyle w:val="num"/>
        </w:rPr>
        <w:t>"</w:t>
      </w:r>
      <w:r w:rsidR="00CA0C5D">
        <w:rPr>
          <w:rStyle w:val="chapeau"/>
        </w:rPr>
        <w:t xml:space="preserve">based on the totality of scientific evidence available to the </w:t>
      </w:r>
      <w:r w:rsidR="00CA0C5D" w:rsidRPr="005179AA">
        <w:t>Secretary</w:t>
      </w:r>
      <w:r w:rsidR="00CA0C5D">
        <w:rPr>
          <w:rStyle w:val="chapeau"/>
        </w:rPr>
        <w:t>, including data from adequate and well-controlled clinical trials, if available, it is reasonable to believe that —</w:t>
      </w:r>
      <w:r w:rsidR="00CA0C5D">
        <w:t xml:space="preserve"> </w:t>
      </w:r>
      <w:bookmarkStart w:id="0" w:name="c_2_A"/>
      <w:bookmarkEnd w:id="0"/>
      <w:r w:rsidR="00CA0C5D">
        <w:rPr>
          <w:rStyle w:val="chapeau"/>
        </w:rPr>
        <w:t xml:space="preserve">the </w:t>
      </w:r>
      <w:r w:rsidR="00CA0C5D" w:rsidRPr="00CA0C5D">
        <w:rPr>
          <w:rStyle w:val="chapeau"/>
        </w:rPr>
        <w:t>product</w:t>
      </w:r>
      <w:r w:rsidR="00CA0C5D">
        <w:rPr>
          <w:rStyle w:val="chapeau"/>
        </w:rPr>
        <w:t xml:space="preserve"> </w:t>
      </w:r>
      <w:r w:rsidR="00CA0C5D" w:rsidRPr="00CA0C5D">
        <w:rPr>
          <w:rStyle w:val="chapeau"/>
          <w:b/>
          <w:bCs/>
        </w:rPr>
        <w:t>may be effective</w:t>
      </w:r>
      <w:r w:rsidR="00CA0C5D">
        <w:rPr>
          <w:rStyle w:val="chapeau"/>
        </w:rPr>
        <w:t xml:space="preserve"> in diagnosing, treating, or preventing—</w:t>
      </w:r>
      <w:bookmarkStart w:id="1" w:name="c_2_A_i"/>
      <w:bookmarkEnd w:id="1"/>
      <w:r w:rsidR="00CA0C5D">
        <w:rPr>
          <w:rStyle w:val="num"/>
        </w:rPr>
        <w:t>(</w:t>
      </w:r>
      <w:proofErr w:type="spellStart"/>
      <w:r w:rsidR="00CA0C5D">
        <w:rPr>
          <w:rStyle w:val="num"/>
        </w:rPr>
        <w:t>i</w:t>
      </w:r>
      <w:proofErr w:type="spellEnd"/>
      <w:r w:rsidR="00CA0C5D">
        <w:rPr>
          <w:rStyle w:val="num"/>
        </w:rPr>
        <w:t>)</w:t>
      </w:r>
      <w:r w:rsidR="005179AA">
        <w:t xml:space="preserve"> </w:t>
      </w:r>
      <w:r w:rsidR="00CA0C5D">
        <w:t>such disease or condition [SARS-CoV-2]; or</w:t>
      </w:r>
      <w:bookmarkStart w:id="2" w:name="c_2_A_ii"/>
      <w:bookmarkEnd w:id="2"/>
      <w:r w:rsidR="00CA0C5D">
        <w:t xml:space="preserve"> </w:t>
      </w:r>
      <w:r w:rsidR="00CA0C5D">
        <w:rPr>
          <w:rStyle w:val="num"/>
        </w:rPr>
        <w:t>(ii)</w:t>
      </w:r>
      <w:r w:rsidR="00CA0C5D">
        <w:t xml:space="preserve"> a serious or life-threatening disease or condition caused by a </w:t>
      </w:r>
      <w:r w:rsidR="00CA0C5D" w:rsidRPr="00CA0C5D">
        <w:t>product</w:t>
      </w:r>
      <w:r w:rsidR="00CA0C5D">
        <w:t xml:space="preserve"> authorized under this section, approved or cleared under this chapter, or licensed under section 351 of the </w:t>
      </w:r>
      <w:r w:rsidR="00CA0C5D" w:rsidRPr="00CA0C5D">
        <w:t>Public Health Service Act</w:t>
      </w:r>
      <w:r w:rsidR="00CA0C5D">
        <w:t xml:space="preserve"> [</w:t>
      </w:r>
      <w:r w:rsidR="00CA0C5D" w:rsidRPr="00CA0C5D">
        <w:t>42 U.S.C. 262</w:t>
      </w:r>
      <w:r w:rsidR="00CA0C5D">
        <w:t xml:space="preserve">], for diagnosing, treating, or preventing such a disease or condition caused by such an agent," </w:t>
      </w:r>
      <w:r w:rsidR="00CA0C5D">
        <w:rPr>
          <w:rFonts w:ascii="Times" w:hAnsi="Times" w:cstheme="minorHAnsi"/>
          <w:color w:val="000000"/>
          <w:bdr w:val="none" w:sz="0" w:space="0" w:color="auto" w:frame="1"/>
        </w:rPr>
        <w:t>with all risk and benefit assessments reserved to HHS Secretary alone, no data required and no data or decisional review by Congress, courts or individual recipients authorized.</w:t>
      </w:r>
    </w:p>
    <w:p w14:paraId="03938496" w14:textId="6633892F" w:rsidR="00CA0C5D" w:rsidRPr="00CA0C5D" w:rsidRDefault="00CA0C5D"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 xml:space="preserve">21 USC 360bbb-3(c)(2)(B): </w:t>
      </w:r>
      <w:r w:rsidR="005179AA">
        <w:rPr>
          <w:rFonts w:ascii="Times" w:hAnsi="Times" w:cstheme="minorHAnsi"/>
          <w:color w:val="000000"/>
          <w:bdr w:val="none" w:sz="0" w:space="0" w:color="auto" w:frame="1"/>
        </w:rPr>
        <w:t>T</w:t>
      </w:r>
      <w:r>
        <w:rPr>
          <w:rFonts w:ascii="Times" w:hAnsi="Times" w:cstheme="minorHAnsi"/>
          <w:color w:val="000000"/>
          <w:bdr w:val="none" w:sz="0" w:space="0" w:color="auto" w:frame="1"/>
        </w:rPr>
        <w:t xml:space="preserve">here are no </w:t>
      </w:r>
      <w:r w:rsidRPr="005179AA">
        <w:rPr>
          <w:rFonts w:ascii="Times" w:hAnsi="Times" w:cstheme="minorHAnsi"/>
          <w:b/>
          <w:bCs/>
          <w:color w:val="000000"/>
          <w:bdr w:val="none" w:sz="0" w:space="0" w:color="auto" w:frame="1"/>
        </w:rPr>
        <w:t>safety</w:t>
      </w:r>
      <w:r>
        <w:rPr>
          <w:rFonts w:ascii="Times" w:hAnsi="Times" w:cstheme="minorHAnsi"/>
          <w:color w:val="000000"/>
          <w:bdr w:val="none" w:sz="0" w:space="0" w:color="auto" w:frame="1"/>
        </w:rPr>
        <w:t xml:space="preserve"> standards required prior to "use" of medical countermeasures, which are authorized for production and use "</w:t>
      </w:r>
      <w:r w:rsidRPr="00DC5102">
        <w:rPr>
          <w:rFonts w:ascii="Times" w:hAnsi="Times" w:cstheme="minorHAnsi"/>
          <w:color w:val="000000"/>
          <w:bdr w:val="none" w:sz="0" w:space="0" w:color="auto" w:frame="1"/>
        </w:rPr>
        <w:t>based on the totality of scientific evidence available to the Secretary, including data from adequate and well-controlled clinical trials, if available, it is reasonable to believe that</w:t>
      </w:r>
      <w:r>
        <w:rPr>
          <w:rFonts w:ascii="Times" w:hAnsi="Times" w:cstheme="minorHAnsi"/>
          <w:color w:val="000000"/>
          <w:bdr w:val="none" w:sz="0" w:space="0" w:color="auto" w:frame="1"/>
        </w:rPr>
        <w:t>...</w:t>
      </w:r>
      <w:r w:rsidRPr="00DC5102">
        <w:t xml:space="preserve"> </w:t>
      </w:r>
      <w:r w:rsidRPr="00DC5102">
        <w:rPr>
          <w:rFonts w:ascii="Times" w:hAnsi="Times" w:cstheme="minorHAnsi"/>
          <w:color w:val="000000"/>
          <w:bdr w:val="none" w:sz="0" w:space="0" w:color="auto" w:frame="1"/>
        </w:rPr>
        <w:t>the known and potential benefits of the product, when used to diagnose, prevent, or treat such disease or condition, outweigh the known and potential risks of the product, taking into consideration the material threat posed by the agent or agents identified in a declaration</w:t>
      </w:r>
      <w:r>
        <w:rPr>
          <w:rFonts w:ascii="Times" w:hAnsi="Times" w:cstheme="minorHAnsi"/>
          <w:color w:val="000000"/>
          <w:bdr w:val="none" w:sz="0" w:space="0" w:color="auto" w:frame="1"/>
        </w:rPr>
        <w:t>," with all risk and benefit assessments reserved to HHS Secretary alone, no data required and no data or decisional review by Congress, courts or individual recipients authorized.</w:t>
      </w:r>
    </w:p>
    <w:p w14:paraId="4D522EA1" w14:textId="55E05E51" w:rsidR="00D30FFC" w:rsidRPr="00D30FFC" w:rsidRDefault="00D30FFC" w:rsidP="00DF2C53">
      <w:pPr>
        <w:pStyle w:val="ListParagraph"/>
        <w:numPr>
          <w:ilvl w:val="0"/>
          <w:numId w:val="21"/>
        </w:numPr>
        <w:jc w:val="both"/>
        <w:rPr>
          <w:rFonts w:ascii="Times" w:hAnsi="Times" w:cstheme="minorHAnsi"/>
          <w:color w:val="000000"/>
          <w:bdr w:val="none" w:sz="0" w:space="0" w:color="auto" w:frame="1"/>
        </w:rPr>
      </w:pPr>
      <w:r w:rsidRPr="00D30FFC">
        <w:rPr>
          <w:rFonts w:ascii="Times" w:hAnsi="Times" w:cstheme="minorHAnsi"/>
          <w:color w:val="000000"/>
          <w:bdr w:val="none" w:sz="0" w:space="0" w:color="auto" w:frame="1"/>
        </w:rPr>
        <w:t>21 USC 360bbb-3(e)(1)(A)(ii): Appears to authorize HHS Secretary blanket waiver of informed consent for entire American population for "unapproved products</w:t>
      </w:r>
      <w:r w:rsidR="00C3665B">
        <w:rPr>
          <w:rFonts w:ascii="Times" w:hAnsi="Times" w:cstheme="minorHAnsi"/>
          <w:color w:val="000000"/>
          <w:bdr w:val="none" w:sz="0" w:space="0" w:color="auto" w:frame="1"/>
        </w:rPr>
        <w:t>.</w:t>
      </w:r>
      <w:r w:rsidRPr="00D30FFC">
        <w:rPr>
          <w:rFonts w:ascii="Times" w:hAnsi="Times" w:cstheme="minorHAnsi"/>
          <w:color w:val="000000"/>
          <w:bdr w:val="none" w:sz="0" w:space="0" w:color="auto" w:frame="1"/>
        </w:rPr>
        <w:t xml:space="preserve">" </w:t>
      </w:r>
    </w:p>
    <w:p w14:paraId="64D3C2E8" w14:textId="49519016" w:rsidR="00DC5102" w:rsidRDefault="00D30FFC"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21 USC 360bbb-3(e)(2)(A): Appears to authorize HHS Secretary blanket waiver of informed consent for entire American population for "unapproved use of an approved product."</w:t>
      </w:r>
    </w:p>
    <w:p w14:paraId="59118557" w14:textId="16E9A4A9" w:rsidR="007A2C40" w:rsidRPr="007A2C40" w:rsidRDefault="007A2C40" w:rsidP="007A2C40">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Pr>
          <w:rFonts w:ascii="Times" w:hAnsi="Times" w:cstheme="minorHAnsi"/>
          <w:color w:val="000000"/>
          <w:bdr w:val="none" w:sz="0" w:space="0" w:color="auto" w:frame="1"/>
        </w:rPr>
        <w:t>21 USC 360bbb-3</w:t>
      </w:r>
      <w:r w:rsidRPr="007A2C40">
        <w:rPr>
          <w:rFonts w:ascii="Times" w:hAnsi="Times" w:cstheme="minorHAnsi"/>
          <w:color w:val="000000"/>
          <w:bdr w:val="none" w:sz="0" w:space="0" w:color="auto" w:frame="1"/>
        </w:rPr>
        <w:t>(k)</w:t>
      </w:r>
      <w:r>
        <w:rPr>
          <w:rFonts w:ascii="Times" w:hAnsi="Times" w:cstheme="minorHAnsi"/>
          <w:color w:val="000000"/>
          <w:bdr w:val="none" w:sz="0" w:space="0" w:color="auto" w:frame="1"/>
        </w:rPr>
        <w:t>: "</w:t>
      </w:r>
      <w:r w:rsidRPr="007A2C40">
        <w:rPr>
          <w:rFonts w:ascii="Times" w:hAnsi="Times" w:cstheme="minorHAnsi"/>
          <w:color w:val="000000"/>
          <w:bdr w:val="none" w:sz="0" w:space="0" w:color="auto" w:frame="1"/>
        </w:rPr>
        <w:t>Relation to other provisions</w:t>
      </w:r>
      <w:r>
        <w:rPr>
          <w:rFonts w:ascii="Times" w:hAnsi="Times" w:cstheme="minorHAnsi"/>
          <w:color w:val="000000"/>
          <w:bdr w:val="none" w:sz="0" w:space="0" w:color="auto" w:frame="1"/>
        </w:rPr>
        <w:t xml:space="preserve">. </w:t>
      </w:r>
      <w:r w:rsidRPr="007A2C40">
        <w:rPr>
          <w:rFonts w:ascii="Times" w:hAnsi="Times" w:cstheme="minorHAnsi"/>
          <w:color w:val="000000"/>
          <w:bdr w:val="none" w:sz="0" w:space="0" w:color="auto" w:frame="1"/>
        </w:rPr>
        <w:t xml:space="preserve">If a product is the subject of an authorization under this section, the </w:t>
      </w:r>
      <w:r w:rsidRPr="00822053">
        <w:rPr>
          <w:rFonts w:ascii="Times" w:hAnsi="Times" w:cstheme="minorHAnsi"/>
          <w:b/>
          <w:bCs/>
          <w:color w:val="000000"/>
          <w:bdr w:val="none" w:sz="0" w:space="0" w:color="auto" w:frame="1"/>
        </w:rPr>
        <w:t>use of such product within the scope of the authorization shall not be considered to constitute a clinical investigation</w:t>
      </w:r>
      <w:r w:rsidRPr="007A2C40">
        <w:rPr>
          <w:rFonts w:ascii="Times" w:hAnsi="Times" w:cstheme="minorHAnsi"/>
          <w:color w:val="000000"/>
          <w:bdr w:val="none" w:sz="0" w:space="0" w:color="auto" w:frame="1"/>
        </w:rPr>
        <w:t xml:space="preserve"> for purposes of section 355(</w:t>
      </w:r>
      <w:proofErr w:type="spellStart"/>
      <w:r w:rsidRPr="007A2C40">
        <w:rPr>
          <w:rFonts w:ascii="Times" w:hAnsi="Times" w:cstheme="minorHAnsi"/>
          <w:color w:val="000000"/>
          <w:bdr w:val="none" w:sz="0" w:space="0" w:color="auto" w:frame="1"/>
        </w:rPr>
        <w:t>i</w:t>
      </w:r>
      <w:proofErr w:type="spellEnd"/>
      <w:r w:rsidRPr="007A2C40">
        <w:rPr>
          <w:rFonts w:ascii="Times" w:hAnsi="Times" w:cstheme="minorHAnsi"/>
          <w:color w:val="000000"/>
          <w:bdr w:val="none" w:sz="0" w:space="0" w:color="auto" w:frame="1"/>
        </w:rPr>
        <w:t>), 360b(j), or 360j(g) of this title or any other provision of this chapter or section 351 of the Public Health Service Act [42 U.S.C. 262].</w:t>
      </w:r>
      <w:r>
        <w:rPr>
          <w:rFonts w:ascii="Times" w:hAnsi="Times" w:cstheme="minorHAnsi"/>
          <w:color w:val="000000"/>
          <w:bdr w:val="none" w:sz="0" w:space="0" w:color="auto" w:frame="1"/>
        </w:rPr>
        <w:t>"</w:t>
      </w:r>
    </w:p>
    <w:p w14:paraId="2AE9381E" w14:textId="5A25D1A2" w:rsidR="00D30FFC" w:rsidRPr="00D30FFC" w:rsidRDefault="00A55B8E"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 xml:space="preserve">21 USC 360bbb-3a(c); </w:t>
      </w:r>
      <w:r w:rsidR="00D30FFC" w:rsidRPr="00D30FFC">
        <w:rPr>
          <w:rFonts w:ascii="Times" w:hAnsi="Times" w:cstheme="minorHAnsi"/>
          <w:color w:val="000000"/>
          <w:bdr w:val="none" w:sz="0" w:space="0" w:color="auto" w:frame="1"/>
        </w:rPr>
        <w:t xml:space="preserve">21 USC 360bbb-3a(d); </w:t>
      </w:r>
      <w:r w:rsidRPr="00D30FFC">
        <w:rPr>
          <w:rFonts w:ascii="Times" w:hAnsi="Times" w:cstheme="minorHAnsi"/>
          <w:color w:val="000000"/>
          <w:bdr w:val="none" w:sz="0" w:space="0" w:color="auto" w:frame="1"/>
        </w:rPr>
        <w:t>21 USC 360bbb-3(e)(2)(B)(ii): EUA medical countermeasures “shall not be deemed adulterated or misbranded” even if noncompliant with regulations governing manufacturing, testing, purity, quality, batch and lot variability, adulteration, expiration dates, labeling, serialization, marketing</w:t>
      </w:r>
      <w:r w:rsidR="00822053">
        <w:rPr>
          <w:rFonts w:ascii="Times" w:hAnsi="Times" w:cstheme="minorHAnsi"/>
          <w:color w:val="000000"/>
          <w:bdr w:val="none" w:sz="0" w:space="0" w:color="auto" w:frame="1"/>
        </w:rPr>
        <w:t>,</w:t>
      </w:r>
      <w:r w:rsidRPr="00D30FFC">
        <w:rPr>
          <w:rFonts w:ascii="Times" w:hAnsi="Times" w:cstheme="minorHAnsi"/>
          <w:color w:val="000000"/>
          <w:bdr w:val="none" w:sz="0" w:space="0" w:color="auto" w:frame="1"/>
        </w:rPr>
        <w:t xml:space="preserve"> branding</w:t>
      </w:r>
      <w:r w:rsidR="00822053">
        <w:rPr>
          <w:rFonts w:ascii="Times" w:hAnsi="Times" w:cstheme="minorHAnsi"/>
          <w:color w:val="000000"/>
          <w:bdr w:val="none" w:sz="0" w:space="0" w:color="auto" w:frame="1"/>
        </w:rPr>
        <w:t>, dispensing and prescriptions</w:t>
      </w:r>
      <w:r w:rsidRPr="00D30FFC">
        <w:rPr>
          <w:rFonts w:ascii="Times" w:hAnsi="Times" w:cstheme="minorHAnsi"/>
          <w:color w:val="000000"/>
          <w:bdr w:val="none" w:sz="0" w:space="0" w:color="auto" w:frame="1"/>
        </w:rPr>
        <w:t>.</w:t>
      </w:r>
    </w:p>
    <w:p w14:paraId="501A97B6" w14:textId="6CB8FBB4" w:rsidR="00D30FFC" w:rsidRPr="00D30FFC" w:rsidRDefault="00D30FFC"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 xml:space="preserve">21 USC 355g: </w:t>
      </w:r>
      <w:r w:rsidR="00C3665B">
        <w:rPr>
          <w:rFonts w:ascii="Times" w:hAnsi="Times" w:cstheme="minorHAnsi"/>
          <w:color w:val="000000"/>
          <w:bdr w:val="none" w:sz="0" w:space="0" w:color="auto" w:frame="1"/>
        </w:rPr>
        <w:t>"</w:t>
      </w:r>
      <w:r w:rsidRPr="00D30FFC">
        <w:rPr>
          <w:rFonts w:ascii="Times" w:hAnsi="Times" w:cstheme="minorHAnsi"/>
          <w:color w:val="000000"/>
          <w:bdr w:val="none" w:sz="0" w:space="0" w:color="auto" w:frame="1"/>
        </w:rPr>
        <w:t>Real world evidence</w:t>
      </w:r>
      <w:r w:rsidR="00C3665B">
        <w:rPr>
          <w:rFonts w:ascii="Times" w:hAnsi="Times" w:cstheme="minorHAnsi"/>
          <w:color w:val="000000"/>
          <w:bdr w:val="none" w:sz="0" w:space="0" w:color="auto" w:frame="1"/>
        </w:rPr>
        <w:t>"</w:t>
      </w:r>
      <w:r w:rsidRPr="00D30FFC">
        <w:rPr>
          <w:rFonts w:ascii="Times" w:hAnsi="Times" w:cstheme="minorHAnsi"/>
          <w:color w:val="000000"/>
          <w:bdr w:val="none" w:sz="0" w:space="0" w:color="auto" w:frame="1"/>
        </w:rPr>
        <w:t xml:space="preserve"> (mass administration of products to general public prior to or in parallel with standard nonclinical, preclinical and clinical safety and efficacy studies) followed by collection of private/proprietary information about the effects, from health insurance systems, government databases (</w:t>
      </w:r>
      <w:r w:rsidRPr="00D30FFC">
        <w:rPr>
          <w:rFonts w:ascii="Times" w:hAnsi="Times" w:cstheme="minorHAnsi"/>
          <w:bdr w:val="none" w:sz="0" w:space="0" w:color="auto" w:frame="1"/>
        </w:rPr>
        <w:t>Medicare</w:t>
      </w:r>
      <w:r w:rsidRPr="00D30FFC">
        <w:rPr>
          <w:rFonts w:ascii="Times" w:hAnsi="Times" w:cstheme="minorHAnsi"/>
          <w:color w:val="000000"/>
          <w:bdr w:val="none" w:sz="0" w:space="0" w:color="auto" w:frame="1"/>
        </w:rPr>
        <w:t>, Medicaid, Defense Medical Epidemiology Database, Veterans Health Administration) and other private databases, appears to be authorized for the purposes of FDA regulatory action. </w:t>
      </w:r>
    </w:p>
    <w:p w14:paraId="273AFF87" w14:textId="77777777" w:rsidR="00D30FFC" w:rsidRPr="00D30FFC" w:rsidRDefault="00D30FFC"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lastRenderedPageBreak/>
        <w:t>21 USC 355(</w:t>
      </w:r>
      <w:proofErr w:type="spellStart"/>
      <w:r w:rsidRPr="00D30FFC">
        <w:rPr>
          <w:rFonts w:ascii="Times" w:hAnsi="Times" w:cstheme="minorHAnsi"/>
          <w:color w:val="000000"/>
          <w:bdr w:val="none" w:sz="0" w:space="0" w:color="auto" w:frame="1"/>
        </w:rPr>
        <w:t>i</w:t>
      </w:r>
      <w:proofErr w:type="spellEnd"/>
      <w:r w:rsidRPr="00D30FFC">
        <w:rPr>
          <w:rFonts w:ascii="Times" w:hAnsi="Times" w:cstheme="minorHAnsi"/>
          <w:color w:val="000000"/>
          <w:bdr w:val="none" w:sz="0" w:space="0" w:color="auto" w:frame="1"/>
        </w:rPr>
        <w:t>)(4): Appears to authorize HHS Secretary blanket waiver of informed consent for entire American population, for products classified by HHS as "minimal risk drugs."</w:t>
      </w:r>
    </w:p>
    <w:p w14:paraId="1D69B2CA" w14:textId="77777777" w:rsidR="00D30FFC" w:rsidRPr="00D30FFC" w:rsidRDefault="00D30FFC"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21 USC 360j(g)(3)(D)(</w:t>
      </w:r>
      <w:proofErr w:type="spellStart"/>
      <w:r w:rsidRPr="00D30FFC">
        <w:rPr>
          <w:rFonts w:ascii="Times" w:hAnsi="Times" w:cstheme="minorHAnsi"/>
          <w:color w:val="000000"/>
          <w:bdr w:val="none" w:sz="0" w:space="0" w:color="auto" w:frame="1"/>
        </w:rPr>
        <w:t>i</w:t>
      </w:r>
      <w:proofErr w:type="spellEnd"/>
      <w:r w:rsidRPr="00D30FFC">
        <w:rPr>
          <w:rFonts w:ascii="Times" w:hAnsi="Times" w:cstheme="minorHAnsi"/>
          <w:color w:val="000000"/>
          <w:bdr w:val="none" w:sz="0" w:space="0" w:color="auto" w:frame="1"/>
        </w:rPr>
        <w:t>) - Appears to authorize HHS Secretary blanket waiver of informed consent for entire American population, for products classified by HHS as "minimal risk devices."</w:t>
      </w:r>
    </w:p>
    <w:p w14:paraId="7AFCB390" w14:textId="77777777" w:rsidR="00C44364" w:rsidRPr="00D30FFC" w:rsidRDefault="00C44364"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42 USC 247d-6a(d)(2)(A): Manufacturers, as contractors, are considered HHS employees for purposes of legal immunity under Federal Tort Claims Act. </w:t>
      </w:r>
    </w:p>
    <w:p w14:paraId="4B81A6C1" w14:textId="77777777" w:rsidR="00C44364" w:rsidRPr="00D30FFC" w:rsidRDefault="00C44364"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42 USC 247d-6b(c)(5)(B)(iii): One of the factors to be considered by HHS secretary in making determinations about EUA products (qualified security countermeasures) and use of Special Reserve Fund/Strategic National Stockpile appropriations for procurement is "whether there is a lack of a significant commercial market for the product at the time of procurement, other than as a security countermeasure."</w:t>
      </w:r>
    </w:p>
    <w:p w14:paraId="47E7154D" w14:textId="77777777" w:rsidR="00164E11" w:rsidRDefault="00A55B8E"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 xml:space="preserve">42 USC 247d-6d(b)(7): </w:t>
      </w:r>
      <w:r w:rsidR="00164E11" w:rsidRPr="00D30FFC">
        <w:rPr>
          <w:rFonts w:ascii="Times" w:hAnsi="Times" w:cstheme="minorHAnsi"/>
          <w:color w:val="000000"/>
          <w:bdr w:val="none" w:sz="0" w:space="0" w:color="auto" w:frame="1"/>
        </w:rPr>
        <w:t xml:space="preserve">There </w:t>
      </w:r>
      <w:r w:rsidR="008773A1">
        <w:rPr>
          <w:rFonts w:ascii="Times" w:hAnsi="Times" w:cstheme="minorHAnsi"/>
          <w:color w:val="000000"/>
          <w:bdr w:val="none" w:sz="0" w:space="0" w:color="auto" w:frame="1"/>
        </w:rPr>
        <w:t xml:space="preserve">appears to be </w:t>
      </w:r>
      <w:r w:rsidR="00164E11" w:rsidRPr="00D30FFC">
        <w:rPr>
          <w:rFonts w:ascii="Times" w:hAnsi="Times" w:cstheme="minorHAnsi"/>
          <w:color w:val="000000"/>
          <w:bdr w:val="none" w:sz="0" w:space="0" w:color="auto" w:frame="1"/>
        </w:rPr>
        <w:t>no access to courts for judicial review of the facts or law relating to HHS Secretary</w:t>
      </w:r>
      <w:r w:rsidR="008773A1">
        <w:rPr>
          <w:rFonts w:ascii="Times" w:hAnsi="Times" w:cstheme="minorHAnsi"/>
          <w:color w:val="000000"/>
          <w:bdr w:val="none" w:sz="0" w:space="0" w:color="auto" w:frame="1"/>
        </w:rPr>
        <w:t xml:space="preserve"> public health emergency</w:t>
      </w:r>
      <w:r w:rsidR="00164E11" w:rsidRPr="00D30FFC">
        <w:rPr>
          <w:rFonts w:ascii="Times" w:hAnsi="Times" w:cstheme="minorHAnsi"/>
          <w:color w:val="000000"/>
          <w:bdr w:val="none" w:sz="0" w:space="0" w:color="auto" w:frame="1"/>
        </w:rPr>
        <w:t xml:space="preserve"> declarations </w:t>
      </w:r>
      <w:r w:rsidR="008773A1">
        <w:rPr>
          <w:rFonts w:ascii="Times" w:hAnsi="Times" w:cstheme="minorHAnsi"/>
          <w:color w:val="000000"/>
          <w:bdr w:val="none" w:sz="0" w:space="0" w:color="auto" w:frame="1"/>
        </w:rPr>
        <w:t xml:space="preserve">and medical countermeasures </w:t>
      </w:r>
      <w:r w:rsidR="00164E11" w:rsidRPr="00D30FFC">
        <w:rPr>
          <w:rFonts w:ascii="Times" w:hAnsi="Times" w:cstheme="minorHAnsi"/>
          <w:color w:val="000000"/>
          <w:bdr w:val="none" w:sz="0" w:space="0" w:color="auto" w:frame="1"/>
        </w:rPr>
        <w:t>product</w:t>
      </w:r>
      <w:r w:rsidR="008773A1">
        <w:rPr>
          <w:rFonts w:ascii="Times" w:hAnsi="Times" w:cstheme="minorHAnsi"/>
          <w:color w:val="000000"/>
          <w:bdr w:val="none" w:sz="0" w:space="0" w:color="auto" w:frame="1"/>
        </w:rPr>
        <w:t xml:space="preserve"> classifications</w:t>
      </w:r>
      <w:r w:rsidR="00164E11" w:rsidRPr="00D30FFC">
        <w:rPr>
          <w:rFonts w:ascii="Times" w:hAnsi="Times" w:cstheme="minorHAnsi"/>
          <w:color w:val="000000"/>
          <w:bdr w:val="none" w:sz="0" w:space="0" w:color="auto" w:frame="1"/>
        </w:rPr>
        <w:t>.</w:t>
      </w:r>
    </w:p>
    <w:p w14:paraId="072906FD" w14:textId="7EC67064" w:rsidR="008773A1" w:rsidRPr="008773A1" w:rsidRDefault="008773A1"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F2C53">
        <w:rPr>
          <w:rFonts w:ascii="Times" w:hAnsi="Times" w:cstheme="minorHAnsi"/>
          <w:color w:val="000000"/>
          <w:bdr w:val="none" w:sz="0" w:space="0" w:color="auto" w:frame="1"/>
        </w:rPr>
        <w:t>42 USC 247d-6d(b)(8)</w:t>
      </w:r>
      <w:r>
        <w:rPr>
          <w:rFonts w:ascii="Times" w:hAnsi="Times" w:cstheme="minorHAnsi"/>
          <w:color w:val="000000"/>
          <w:bdr w:val="none" w:sz="0" w:space="0" w:color="auto" w:frame="1"/>
        </w:rPr>
        <w:t xml:space="preserve">: Authority of state, local and tribal governments and individuals to manage public health emergency and medical countermeasures classification </w:t>
      </w:r>
      <w:r w:rsidR="00182E53">
        <w:rPr>
          <w:rFonts w:ascii="Times" w:hAnsi="Times" w:cstheme="minorHAnsi"/>
          <w:color w:val="000000"/>
          <w:bdr w:val="none" w:sz="0" w:space="0" w:color="auto" w:frame="1"/>
        </w:rPr>
        <w:t xml:space="preserve">and </w:t>
      </w:r>
      <w:r>
        <w:rPr>
          <w:rFonts w:ascii="Times" w:hAnsi="Times" w:cstheme="minorHAnsi"/>
          <w:color w:val="000000"/>
          <w:bdr w:val="none" w:sz="0" w:space="0" w:color="auto" w:frame="1"/>
        </w:rPr>
        <w:t>regulation outside of HHS/DOD control appears to be preempted.</w:t>
      </w:r>
    </w:p>
    <w:p w14:paraId="4BFDCD7C" w14:textId="77777777" w:rsidR="00DF2C53" w:rsidRPr="00D30FFC" w:rsidRDefault="00DF2C53"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F2C53">
        <w:rPr>
          <w:rFonts w:ascii="Times" w:hAnsi="Times" w:cstheme="minorHAnsi"/>
          <w:color w:val="000000"/>
          <w:bdr w:val="none" w:sz="0" w:space="0" w:color="auto" w:frame="1"/>
        </w:rPr>
        <w:t>42 USC 247d-6d(b)(9)</w:t>
      </w:r>
      <w:r>
        <w:rPr>
          <w:rFonts w:ascii="Times" w:hAnsi="Times" w:cstheme="minorHAnsi"/>
          <w:color w:val="000000"/>
          <w:bdr w:val="none" w:sz="0" w:space="0" w:color="auto" w:frame="1"/>
        </w:rPr>
        <w:t>: There appears to be an extremely limited obligation for HHS to report to Congress on public health emergency status and medical countermeasures classifications, and no authorization for Congress to override HHS declarations, determination, and decisions.</w:t>
      </w:r>
    </w:p>
    <w:p w14:paraId="62C0E304" w14:textId="77777777" w:rsidR="00C44364" w:rsidRPr="00D30FFC" w:rsidRDefault="00C44364"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42 USC 247d-6d(c)(4): The "just following orders" defense appears to be authorized.</w:t>
      </w:r>
    </w:p>
    <w:p w14:paraId="1CD1E98C" w14:textId="77777777" w:rsidR="00C44364" w:rsidRDefault="00A55B8E" w:rsidP="00DF2C53">
      <w:pPr>
        <w:pStyle w:val="ListParagraph"/>
        <w:numPr>
          <w:ilvl w:val="0"/>
          <w:numId w:val="21"/>
        </w:numPr>
        <w:spacing w:beforeAutospacing="1" w:afterAutospacing="1"/>
        <w:jc w:val="both"/>
        <w:textAlignment w:val="baseline"/>
        <w:rPr>
          <w:rFonts w:ascii="Times" w:hAnsi="Times" w:cstheme="minorHAnsi"/>
          <w:color w:val="000000"/>
          <w:bdr w:val="none" w:sz="0" w:space="0" w:color="auto" w:frame="1"/>
        </w:rPr>
      </w:pPr>
      <w:r w:rsidRPr="00D30FFC">
        <w:rPr>
          <w:rFonts w:ascii="Times" w:hAnsi="Times" w:cstheme="minorHAnsi"/>
          <w:color w:val="000000"/>
          <w:bdr w:val="none" w:sz="0" w:space="0" w:color="auto" w:frame="1"/>
        </w:rPr>
        <w:t>42 USC 247d-6d</w:t>
      </w:r>
      <w:r w:rsidR="00C44364" w:rsidRPr="00D30FFC">
        <w:rPr>
          <w:rFonts w:ascii="Times" w:hAnsi="Times" w:cstheme="minorHAnsi"/>
          <w:color w:val="000000"/>
          <w:bdr w:val="none" w:sz="0" w:space="0" w:color="auto" w:frame="1"/>
        </w:rPr>
        <w:t>(c)(5)</w:t>
      </w:r>
      <w:r w:rsidRPr="00D30FFC">
        <w:rPr>
          <w:rFonts w:ascii="Times" w:hAnsi="Times" w:cstheme="minorHAnsi"/>
          <w:color w:val="000000"/>
          <w:bdr w:val="none" w:sz="0" w:space="0" w:color="auto" w:frame="1"/>
        </w:rPr>
        <w:t xml:space="preserve">: </w:t>
      </w:r>
      <w:r w:rsidR="00164E11" w:rsidRPr="00D30FFC">
        <w:rPr>
          <w:rFonts w:ascii="Times" w:hAnsi="Times" w:cstheme="minorHAnsi"/>
          <w:color w:val="000000"/>
          <w:bdr w:val="none" w:sz="0" w:space="0" w:color="auto" w:frame="1"/>
        </w:rPr>
        <w:t xml:space="preserve">There </w:t>
      </w:r>
      <w:r w:rsidR="00C44364" w:rsidRPr="00D30FFC">
        <w:rPr>
          <w:rFonts w:ascii="Times" w:hAnsi="Times" w:cstheme="minorHAnsi"/>
          <w:color w:val="000000"/>
          <w:bdr w:val="none" w:sz="0" w:space="0" w:color="auto" w:frame="1"/>
        </w:rPr>
        <w:t xml:space="preserve">appears to be </w:t>
      </w:r>
      <w:r w:rsidR="00164E11" w:rsidRPr="00D30FFC">
        <w:rPr>
          <w:rFonts w:ascii="Times" w:hAnsi="Times" w:cstheme="minorHAnsi"/>
          <w:color w:val="000000"/>
          <w:bdr w:val="none" w:sz="0" w:space="0" w:color="auto" w:frame="1"/>
        </w:rPr>
        <w:t xml:space="preserve">no access for plaintiffs, to civil courts for judicial review, and no entity to whom civil liability can attach, for injuries and deaths caused by covered </w:t>
      </w:r>
      <w:r w:rsidR="00C41DBA" w:rsidRPr="00D30FFC">
        <w:rPr>
          <w:rFonts w:ascii="Times" w:hAnsi="Times" w:cstheme="minorHAnsi"/>
          <w:color w:val="000000"/>
          <w:bdr w:val="none" w:sz="0" w:space="0" w:color="auto" w:frame="1"/>
        </w:rPr>
        <w:t xml:space="preserve">medical </w:t>
      </w:r>
      <w:r w:rsidR="00164E11" w:rsidRPr="00D30FFC">
        <w:rPr>
          <w:rFonts w:ascii="Times" w:hAnsi="Times" w:cstheme="minorHAnsi"/>
          <w:color w:val="000000"/>
          <w:bdr w:val="none" w:sz="0" w:space="0" w:color="auto" w:frame="1"/>
        </w:rPr>
        <w:t xml:space="preserve">countermeasures, unless and until HHS and/or Attorney General/DOJ </w:t>
      </w:r>
      <w:r w:rsidR="00C41DBA" w:rsidRPr="00D30FFC">
        <w:rPr>
          <w:rFonts w:ascii="Times" w:hAnsi="Times" w:cstheme="minorHAnsi"/>
          <w:color w:val="000000"/>
          <w:bdr w:val="none" w:sz="0" w:space="0" w:color="auto" w:frame="1"/>
        </w:rPr>
        <w:t xml:space="preserve">first </w:t>
      </w:r>
      <w:r w:rsidR="00164E11" w:rsidRPr="00D30FFC">
        <w:rPr>
          <w:rFonts w:ascii="Times" w:hAnsi="Times" w:cstheme="minorHAnsi"/>
          <w:color w:val="000000"/>
          <w:bdr w:val="none" w:sz="0" w:space="0" w:color="auto" w:frame="1"/>
        </w:rPr>
        <w:t>file enforcement action against manufacturers and prove willful misconduct proximate to injury or death</w:t>
      </w:r>
    </w:p>
    <w:p w14:paraId="3BF95236" w14:textId="77777777" w:rsidR="00DE6656" w:rsidRDefault="00875149" w:rsidP="000C6137">
      <w:pPr>
        <w:pStyle w:val="NormalWeb"/>
        <w:spacing w:before="0" w:beforeAutospacing="0" w:after="0" w:afterAutospacing="0"/>
        <w:jc w:val="center"/>
        <w:rPr>
          <w:rFonts w:ascii="Times" w:hAnsi="Times"/>
          <w:b/>
          <w:bCs/>
          <w:u w:val="single"/>
        </w:rPr>
      </w:pPr>
      <w:r>
        <w:rPr>
          <w:rFonts w:ascii="Times" w:hAnsi="Times"/>
          <w:b/>
          <w:bCs/>
          <w:u w:val="single"/>
        </w:rPr>
        <w:t>DISCUS</w:t>
      </w:r>
      <w:r w:rsidR="00DE6656" w:rsidRPr="008740E8">
        <w:rPr>
          <w:rFonts w:ascii="Times" w:hAnsi="Times"/>
          <w:b/>
          <w:bCs/>
          <w:u w:val="single"/>
        </w:rPr>
        <w:t>SION</w:t>
      </w:r>
    </w:p>
    <w:p w14:paraId="66D3BDDA" w14:textId="77777777" w:rsidR="00BC7C2B" w:rsidRPr="008740E8" w:rsidRDefault="00BC7C2B" w:rsidP="00B121D5">
      <w:pPr>
        <w:pStyle w:val="NormalWeb"/>
        <w:spacing w:before="0" w:beforeAutospacing="0" w:after="0" w:afterAutospacing="0"/>
        <w:jc w:val="both"/>
        <w:rPr>
          <w:rFonts w:ascii="Times" w:hAnsi="Times"/>
          <w:b/>
          <w:bCs/>
          <w:u w:val="single"/>
        </w:rPr>
      </w:pPr>
    </w:p>
    <w:p w14:paraId="64274509" w14:textId="76901F33" w:rsidR="00875149" w:rsidRDefault="00DE6656" w:rsidP="00875149">
      <w:pPr>
        <w:pStyle w:val="NormalWeb"/>
        <w:spacing w:before="0" w:beforeAutospacing="0" w:after="0" w:afterAutospacing="0"/>
        <w:jc w:val="both"/>
        <w:rPr>
          <w:rFonts w:ascii="Times" w:hAnsi="Times"/>
        </w:rPr>
      </w:pPr>
      <w:r>
        <w:rPr>
          <w:rFonts w:ascii="Times" w:hAnsi="Times"/>
        </w:rPr>
        <w:t xml:space="preserve">The interlocking corruption of federal </w:t>
      </w:r>
      <w:r w:rsidR="000C6137">
        <w:rPr>
          <w:rFonts w:ascii="Times" w:hAnsi="Times"/>
        </w:rPr>
        <w:t xml:space="preserve">emergency management, </w:t>
      </w:r>
      <w:r>
        <w:rPr>
          <w:rFonts w:ascii="Times" w:hAnsi="Times"/>
        </w:rPr>
        <w:t>public health and drug safety law</w:t>
      </w:r>
      <w:r w:rsidR="000C6137">
        <w:rPr>
          <w:rFonts w:ascii="Times" w:hAnsi="Times"/>
        </w:rPr>
        <w:t>s</w:t>
      </w:r>
      <w:r>
        <w:rPr>
          <w:rFonts w:ascii="Times" w:hAnsi="Times"/>
        </w:rPr>
        <w:t>, for the purpose of mounting a</w:t>
      </w:r>
      <w:r w:rsidR="000C6137">
        <w:rPr>
          <w:rFonts w:ascii="Times" w:hAnsi="Times"/>
        </w:rPr>
        <w:t xml:space="preserve"> covert </w:t>
      </w:r>
      <w:r>
        <w:rPr>
          <w:rFonts w:ascii="Times" w:hAnsi="Times"/>
        </w:rPr>
        <w:t>biological attack by the US Government on the American people under the fraudulent characterization of biological weapons as "Covid-19 vaccines," was deployed fully starting Jan. 27, 2020 and continues to be fully operational at the present time, almost three years later.</w:t>
      </w:r>
    </w:p>
    <w:p w14:paraId="5190593D" w14:textId="77777777" w:rsidR="00875149" w:rsidRDefault="00875149" w:rsidP="00875149">
      <w:pPr>
        <w:pStyle w:val="NormalWeb"/>
        <w:spacing w:before="0" w:beforeAutospacing="0" w:after="0" w:afterAutospacing="0"/>
        <w:jc w:val="both"/>
        <w:rPr>
          <w:rFonts w:ascii="Times" w:hAnsi="Times"/>
        </w:rPr>
      </w:pPr>
    </w:p>
    <w:p w14:paraId="29BC5360" w14:textId="2D2F0FBA" w:rsidR="00BC7C2B" w:rsidRDefault="00DE6656" w:rsidP="00875149">
      <w:pPr>
        <w:pStyle w:val="NormalWeb"/>
        <w:spacing w:before="0" w:beforeAutospacing="0" w:after="0" w:afterAutospacing="0"/>
        <w:jc w:val="both"/>
        <w:rPr>
          <w:rFonts w:ascii="Times" w:hAnsi="Times"/>
        </w:rPr>
      </w:pPr>
      <w:r>
        <w:rPr>
          <w:rFonts w:ascii="Times" w:hAnsi="Times"/>
        </w:rPr>
        <w:t>These and related HHS Secretary declarations, Presidential Executive Orders</w:t>
      </w:r>
      <w:r w:rsidR="00182E53">
        <w:rPr>
          <w:rFonts w:ascii="Times" w:hAnsi="Times"/>
        </w:rPr>
        <w:t xml:space="preserve"> and</w:t>
      </w:r>
      <w:r>
        <w:rPr>
          <w:rFonts w:ascii="Times" w:hAnsi="Times"/>
        </w:rPr>
        <w:t xml:space="preserve"> Congressional appropriations, suspended ordinary federal product procurement contracting laws and ordinary federal drug safety regulation </w:t>
      </w:r>
      <w:r w:rsidR="00BC7C2B">
        <w:rPr>
          <w:rFonts w:ascii="Times" w:hAnsi="Times"/>
        </w:rPr>
        <w:t xml:space="preserve">and informed consent </w:t>
      </w:r>
      <w:r>
        <w:rPr>
          <w:rFonts w:ascii="Times" w:hAnsi="Times"/>
        </w:rPr>
        <w:t xml:space="preserve">laws, apparently authorizing pharmaceutical corporations, the Department of Defense and the Department of Health and Human Services, in conjunction with several other federal agencies, to develop, produce, fraudulently market, and distribute biological weapon prototypes to </w:t>
      </w:r>
      <w:r w:rsidRPr="00421244">
        <w:rPr>
          <w:rFonts w:ascii="Times" w:eastAsiaTheme="minorHAnsi" w:hAnsi="Times" w:cstheme="minorBidi"/>
        </w:rPr>
        <w:t xml:space="preserve">American </w:t>
      </w:r>
      <w:r w:rsidRPr="00421244">
        <w:rPr>
          <w:rFonts w:ascii="Times" w:hAnsi="Times"/>
        </w:rPr>
        <w:t>doctors, nurses, pharmacists, medical students and other medical personnel</w:t>
      </w:r>
      <w:r w:rsidR="00BC7C2B">
        <w:rPr>
          <w:rFonts w:ascii="Times" w:hAnsi="Times"/>
        </w:rPr>
        <w:t>.</w:t>
      </w:r>
    </w:p>
    <w:p w14:paraId="38D75807" w14:textId="2474942C" w:rsidR="00DE6656" w:rsidRDefault="00BC7C2B" w:rsidP="00B121D5">
      <w:pPr>
        <w:pStyle w:val="NormalWeb"/>
        <w:jc w:val="both"/>
        <w:rPr>
          <w:rFonts w:ascii="Times" w:hAnsi="Times"/>
        </w:rPr>
      </w:pPr>
      <w:r>
        <w:rPr>
          <w:rFonts w:ascii="Times" w:hAnsi="Times"/>
        </w:rPr>
        <w:lastRenderedPageBreak/>
        <w:t xml:space="preserve">These actors were </w:t>
      </w:r>
      <w:r w:rsidR="00DE6656">
        <w:rPr>
          <w:rFonts w:ascii="Times" w:hAnsi="Times"/>
        </w:rPr>
        <w:t>apparently authorize</w:t>
      </w:r>
      <w:r>
        <w:rPr>
          <w:rFonts w:ascii="Times" w:hAnsi="Times"/>
        </w:rPr>
        <w:t>d</w:t>
      </w:r>
      <w:r w:rsidR="00DE6656" w:rsidRPr="00421244">
        <w:rPr>
          <w:rFonts w:ascii="Times" w:hAnsi="Times"/>
        </w:rPr>
        <w:t xml:space="preserve"> </w:t>
      </w:r>
      <w:r w:rsidR="00DE6656">
        <w:rPr>
          <w:rFonts w:ascii="Times" w:hAnsi="Times"/>
        </w:rPr>
        <w:t>to injure and</w:t>
      </w:r>
      <w:r w:rsidR="00DE6656" w:rsidRPr="00421244">
        <w:rPr>
          <w:rFonts w:ascii="Times" w:hAnsi="Times"/>
        </w:rPr>
        <w:t xml:space="preserve"> murder patients with legal impunity using procedures and products </w:t>
      </w:r>
      <w:r>
        <w:rPr>
          <w:rFonts w:ascii="Times" w:hAnsi="Times"/>
        </w:rPr>
        <w:t>(</w:t>
      </w:r>
      <w:r w:rsidR="00DE6656" w:rsidRPr="00421244">
        <w:rPr>
          <w:rFonts w:ascii="Times" w:hAnsi="Times"/>
        </w:rPr>
        <w:t xml:space="preserve">including </w:t>
      </w:r>
      <w:r w:rsidR="00E55D01">
        <w:rPr>
          <w:rFonts w:ascii="Times" w:hAnsi="Times"/>
        </w:rPr>
        <w:t xml:space="preserve">withholding of effective non-EUA products as treatments; </w:t>
      </w:r>
      <w:r w:rsidR="00DE6656" w:rsidRPr="00421244">
        <w:rPr>
          <w:rFonts w:ascii="Times" w:hAnsi="Times"/>
        </w:rPr>
        <w:t>restraints, starvation, dehydration, isolation, sedatives, Remdesivir/Veklury, ventilators</w:t>
      </w:r>
      <w:r>
        <w:rPr>
          <w:rFonts w:ascii="Times" w:hAnsi="Times"/>
        </w:rPr>
        <w:t>)</w:t>
      </w:r>
      <w:r w:rsidR="00E55D01">
        <w:rPr>
          <w:rFonts w:ascii="Times" w:hAnsi="Times"/>
        </w:rPr>
        <w:t xml:space="preserve">, to drive public panic and acceptance of </w:t>
      </w:r>
      <w:r w:rsidR="00DE6656" w:rsidRPr="00421244">
        <w:rPr>
          <w:rFonts w:ascii="Times" w:hAnsi="Times"/>
        </w:rPr>
        <w:t>the lethal injections colloquially known as "Covid-19 vaccines."</w:t>
      </w:r>
    </w:p>
    <w:p w14:paraId="3858C954" w14:textId="77777777" w:rsidR="00875149" w:rsidRDefault="00875149" w:rsidP="00164E11">
      <w:pPr>
        <w:pStyle w:val="NormalWeb"/>
        <w:jc w:val="both"/>
        <w:rPr>
          <w:rFonts w:ascii="Times" w:hAnsi="Times"/>
        </w:rPr>
      </w:pPr>
      <w:r>
        <w:rPr>
          <w:rFonts w:ascii="Times" w:hAnsi="Times"/>
        </w:rPr>
        <w:t>The same conclusions may be reached from observations of acts taken and not taken by American drug safety regulators since the Covid-19 bioagents were first used on human subjects between March and November 2020, and then entered interstate commerce in mid-December 2020.</w:t>
      </w:r>
    </w:p>
    <w:p w14:paraId="799D468A" w14:textId="14218440" w:rsidR="00164E11" w:rsidRPr="00942D0F" w:rsidRDefault="00F61D0A" w:rsidP="00164E11">
      <w:pPr>
        <w:pStyle w:val="NormalWeb"/>
        <w:jc w:val="both"/>
        <w:rPr>
          <w:rFonts w:ascii="Times" w:hAnsi="Times"/>
        </w:rPr>
      </w:pPr>
      <w:r w:rsidRPr="00F61D0A">
        <w:rPr>
          <w:rFonts w:ascii="Times" w:hAnsi="Times"/>
        </w:rPr>
        <w:t xml:space="preserve">If the products were intended for medicinal, healing or protective purposes, and were subject to regulation governing research and development, production and use of medical drugs, biologics and devices, the HHS Secretary, FDA </w:t>
      </w:r>
      <w:r>
        <w:rPr>
          <w:rFonts w:ascii="Times" w:hAnsi="Times"/>
        </w:rPr>
        <w:t xml:space="preserve">regulators </w:t>
      </w:r>
      <w:r w:rsidRPr="00F61D0A">
        <w:rPr>
          <w:rFonts w:ascii="Times" w:hAnsi="Times"/>
        </w:rPr>
        <w:t xml:space="preserve">and their counterparts in other countries would have stopped the programs as soon as the evidence of injuries and deaths became </w:t>
      </w:r>
      <w:r w:rsidRPr="00F61D0A">
        <w:rPr>
          <w:rFonts w:ascii="Times" w:hAnsi="Times"/>
          <w:b/>
          <w:bCs/>
        </w:rPr>
        <w:t>available</w:t>
      </w:r>
      <w:r w:rsidRPr="00F61D0A">
        <w:rPr>
          <w:rFonts w:ascii="Times" w:hAnsi="Times"/>
        </w:rPr>
        <w:t>, which occurred within the first few weeks of the alleged "clinical trials" launched under Operation Warp Speed but only came to public attention much later, through the efforts of independent data analysts reviewing leaked documents and documents disclosed under FOIA and SEC laws. </w:t>
      </w:r>
      <w:r w:rsidR="00164E11" w:rsidRPr="00942D0F">
        <w:rPr>
          <w:rFonts w:ascii="Times" w:hAnsi="Times"/>
        </w:rPr>
        <w:t xml:space="preserve">Instead, </w:t>
      </w:r>
      <w:r w:rsidR="00875149">
        <w:rPr>
          <w:rFonts w:ascii="Times" w:hAnsi="Times"/>
        </w:rPr>
        <w:t>regulators</w:t>
      </w:r>
      <w:r w:rsidR="00164E11" w:rsidRPr="00942D0F">
        <w:rPr>
          <w:rFonts w:ascii="Times" w:hAnsi="Times"/>
        </w:rPr>
        <w:t xml:space="preserve"> have </w:t>
      </w:r>
      <w:r w:rsidR="00875149">
        <w:rPr>
          <w:rFonts w:ascii="Times" w:hAnsi="Times"/>
        </w:rPr>
        <w:t xml:space="preserve">abandoned all attempts to regulate these products, and have </w:t>
      </w:r>
      <w:r w:rsidR="00164E11" w:rsidRPr="00942D0F">
        <w:rPr>
          <w:rFonts w:ascii="Times" w:hAnsi="Times"/>
        </w:rPr>
        <w:t>refused to even answer the question: </w:t>
      </w:r>
      <w:r w:rsidR="00164E11" w:rsidRPr="00164E11">
        <w:rPr>
          <w:rFonts w:ascii="Times" w:hAnsi="Times"/>
        </w:rPr>
        <w:t>“What is the stopping condition?”</w:t>
      </w:r>
    </w:p>
    <w:p w14:paraId="21A81A8A" w14:textId="2765190E" w:rsidR="00164E11" w:rsidRDefault="00942D0F" w:rsidP="00164E11">
      <w:pPr>
        <w:pStyle w:val="NormalWeb"/>
        <w:jc w:val="both"/>
        <w:rPr>
          <w:rFonts w:ascii="Times" w:hAnsi="Times"/>
        </w:rPr>
      </w:pPr>
      <w:r w:rsidRPr="00942D0F">
        <w:rPr>
          <w:rFonts w:ascii="Times" w:hAnsi="Times"/>
        </w:rPr>
        <w:t xml:space="preserve">FDA and other governments’ drug regulatory agencies have not withdrawn authorizations or approvals of the drugs, devices and protocols yet, despite millions of </w:t>
      </w:r>
      <w:r w:rsidR="00875149">
        <w:rPr>
          <w:rFonts w:ascii="Times" w:hAnsi="Times"/>
        </w:rPr>
        <w:t xml:space="preserve">documented </w:t>
      </w:r>
      <w:r w:rsidRPr="00942D0F">
        <w:rPr>
          <w:rFonts w:ascii="Times" w:hAnsi="Times"/>
        </w:rPr>
        <w:t>injuries and deaths experienced by recipients of the products during the initial deployment phase</w:t>
      </w:r>
      <w:r w:rsidR="00164E11">
        <w:rPr>
          <w:rFonts w:ascii="Times" w:hAnsi="Times"/>
        </w:rPr>
        <w:t>, because the products are not medicines.</w:t>
      </w:r>
    </w:p>
    <w:p w14:paraId="490EE418" w14:textId="607E3E93" w:rsidR="00164E11" w:rsidRDefault="00164E11" w:rsidP="00164E11">
      <w:pPr>
        <w:pStyle w:val="NormalWeb"/>
        <w:jc w:val="both"/>
        <w:rPr>
          <w:rFonts w:ascii="Times" w:hAnsi="Times"/>
        </w:rPr>
      </w:pPr>
      <w:r>
        <w:rPr>
          <w:rFonts w:ascii="Times" w:hAnsi="Times"/>
        </w:rPr>
        <w:t>The products are bioagents deployed by actors within the US Government and pharmaceutical/bioweapons industry manufacturing contractors,</w:t>
      </w:r>
      <w:r w:rsidR="00822053">
        <w:rPr>
          <w:rFonts w:ascii="Times" w:hAnsi="Times"/>
        </w:rPr>
        <w:t xml:space="preserve"> intended</w:t>
      </w:r>
      <w:r>
        <w:rPr>
          <w:rFonts w:ascii="Times" w:hAnsi="Times"/>
        </w:rPr>
        <w:t xml:space="preserve"> to injure and kill American people as targets</w:t>
      </w:r>
      <w:r w:rsidR="00875149">
        <w:rPr>
          <w:rFonts w:ascii="Times" w:hAnsi="Times"/>
        </w:rPr>
        <w:t>, and exported to other countries' governments to injure and kill their people.</w:t>
      </w:r>
    </w:p>
    <w:p w14:paraId="5B513CE4" w14:textId="77777777" w:rsidR="00164E11" w:rsidRPr="00942D0F" w:rsidRDefault="00164E11" w:rsidP="00164E11">
      <w:pPr>
        <w:pStyle w:val="NormalWeb"/>
        <w:jc w:val="both"/>
        <w:rPr>
          <w:rFonts w:ascii="Times" w:hAnsi="Times"/>
        </w:rPr>
      </w:pPr>
      <w:r>
        <w:rPr>
          <w:rFonts w:ascii="Times" w:hAnsi="Times"/>
        </w:rPr>
        <w:t>Further, if the products were intended for medicinal, healing or protective purposes and moving across interstate commerce under regulatory frameworks intended to protect consumer safety, they would be eligible for</w:t>
      </w:r>
      <w:r w:rsidR="00942D0F" w:rsidRPr="00942D0F">
        <w:rPr>
          <w:rFonts w:ascii="Times" w:hAnsi="Times"/>
        </w:rPr>
        <w:t xml:space="preserve"> </w:t>
      </w:r>
      <w:r>
        <w:rPr>
          <w:rFonts w:ascii="Times" w:hAnsi="Times"/>
        </w:rPr>
        <w:t>i</w:t>
      </w:r>
      <w:r w:rsidR="00942D0F" w:rsidRPr="00164E11">
        <w:rPr>
          <w:rFonts w:ascii="Times" w:hAnsi="Times"/>
        </w:rPr>
        <w:t xml:space="preserve">ndependent third-party </w:t>
      </w:r>
      <w:r w:rsidRPr="00942D0F">
        <w:rPr>
          <w:rFonts w:ascii="Times" w:hAnsi="Times"/>
        </w:rPr>
        <w:t>purchase</w:t>
      </w:r>
      <w:r>
        <w:rPr>
          <w:rFonts w:ascii="Times" w:hAnsi="Times"/>
        </w:rPr>
        <w:t xml:space="preserve"> </w:t>
      </w:r>
      <w:r w:rsidRPr="00942D0F">
        <w:rPr>
          <w:rFonts w:ascii="Times" w:hAnsi="Times"/>
        </w:rPr>
        <w:t>from manufacturers</w:t>
      </w:r>
      <w:r>
        <w:rPr>
          <w:rFonts w:ascii="Times" w:hAnsi="Times"/>
        </w:rPr>
        <w:t xml:space="preserve"> and drug suppliers, and eligible for independent testing </w:t>
      </w:r>
      <w:r w:rsidRPr="00942D0F">
        <w:rPr>
          <w:rFonts w:ascii="Times" w:hAnsi="Times"/>
        </w:rPr>
        <w:t>to verify that contents match labels and corroborate or disprove claims about safety and efficacy</w:t>
      </w:r>
      <w:r>
        <w:rPr>
          <w:rFonts w:ascii="Times" w:hAnsi="Times"/>
        </w:rPr>
        <w:t>.</w:t>
      </w:r>
    </w:p>
    <w:p w14:paraId="5699DE4E" w14:textId="2816E5F8" w:rsidR="00942D0F" w:rsidRPr="00E55D01" w:rsidRDefault="00164E11" w:rsidP="00B121D5">
      <w:pPr>
        <w:pStyle w:val="NormalWeb"/>
        <w:jc w:val="both"/>
        <w:rPr>
          <w:rFonts w:ascii="Times" w:hAnsi="Times"/>
        </w:rPr>
      </w:pPr>
      <w:r>
        <w:rPr>
          <w:rFonts w:ascii="Times" w:hAnsi="Times"/>
        </w:rPr>
        <w:t xml:space="preserve">Instead, third party access to and testing of vial contents </w:t>
      </w:r>
      <w:r w:rsidR="00942D0F" w:rsidRPr="00164E11">
        <w:rPr>
          <w:rFonts w:ascii="Times" w:hAnsi="Times"/>
        </w:rPr>
        <w:t>is prohibited</w:t>
      </w:r>
      <w:r w:rsidR="00942D0F" w:rsidRPr="00942D0F">
        <w:rPr>
          <w:rFonts w:ascii="Times" w:hAnsi="Times"/>
        </w:rPr>
        <w:t xml:space="preserve"> under the terms of the DOD-mediated </w:t>
      </w:r>
      <w:r>
        <w:rPr>
          <w:rFonts w:ascii="Times" w:hAnsi="Times"/>
        </w:rPr>
        <w:t xml:space="preserve">supply and distribution </w:t>
      </w:r>
      <w:r w:rsidR="00942D0F" w:rsidRPr="00942D0F">
        <w:rPr>
          <w:rFonts w:ascii="Times" w:hAnsi="Times"/>
        </w:rPr>
        <w:t>contracts between purchasing governments</w:t>
      </w:r>
      <w:r>
        <w:rPr>
          <w:rFonts w:ascii="Times" w:hAnsi="Times"/>
        </w:rPr>
        <w:t>,</w:t>
      </w:r>
      <w:r w:rsidR="00942D0F" w:rsidRPr="00942D0F">
        <w:rPr>
          <w:rFonts w:ascii="Times" w:hAnsi="Times"/>
        </w:rPr>
        <w:t xml:space="preserve"> manufacturing corporations</w:t>
      </w:r>
      <w:r>
        <w:rPr>
          <w:rFonts w:ascii="Times" w:hAnsi="Times"/>
        </w:rPr>
        <w:t xml:space="preserve"> and </w:t>
      </w:r>
      <w:r w:rsidR="00182E53">
        <w:rPr>
          <w:rFonts w:ascii="Times" w:hAnsi="Times"/>
        </w:rPr>
        <w:t>"</w:t>
      </w:r>
      <w:r>
        <w:rPr>
          <w:rFonts w:ascii="Times" w:hAnsi="Times"/>
        </w:rPr>
        <w:t>vaccination</w:t>
      </w:r>
      <w:r w:rsidR="00182E53">
        <w:rPr>
          <w:rFonts w:ascii="Times" w:hAnsi="Times"/>
        </w:rPr>
        <w:t>"</w:t>
      </w:r>
      <w:r>
        <w:rPr>
          <w:rFonts w:ascii="Times" w:hAnsi="Times"/>
        </w:rPr>
        <w:t xml:space="preserve"> sites</w:t>
      </w:r>
      <w:r w:rsidR="00C842FB">
        <w:rPr>
          <w:rFonts w:ascii="Times" w:hAnsi="Times"/>
        </w:rPr>
        <w:t>, on penalty of federal "</w:t>
      </w:r>
      <w:r w:rsidR="00C842FB" w:rsidRPr="00C842FB">
        <w:rPr>
          <w:rFonts w:ascii="Times" w:hAnsi="Times"/>
        </w:rPr>
        <w:t>criminal or civil prosecution</w:t>
      </w:r>
      <w:r w:rsidR="00C842FB">
        <w:rPr>
          <w:rFonts w:ascii="Times" w:hAnsi="Times"/>
        </w:rPr>
        <w:t>."</w:t>
      </w:r>
      <w:r w:rsidR="00C842FB" w:rsidRPr="00C842FB">
        <w:rPr>
          <w:rFonts w:ascii="Times" w:hAnsi="Times"/>
          <w:vertAlign w:val="superscript"/>
        </w:rPr>
        <w:t xml:space="preserve"> </w:t>
      </w:r>
      <w:r>
        <w:rPr>
          <w:rStyle w:val="EndnoteReference"/>
          <w:rFonts w:ascii="Times" w:hAnsi="Times"/>
        </w:rPr>
        <w:endnoteReference w:id="21"/>
      </w:r>
      <w:r w:rsidR="00942D0F" w:rsidRPr="00942D0F">
        <w:rPr>
          <w:rFonts w:ascii="Times" w:hAnsi="Times"/>
        </w:rPr>
        <w:t xml:space="preserve"> </w:t>
      </w:r>
    </w:p>
    <w:sectPr w:rsidR="00942D0F" w:rsidRPr="00E55D01" w:rsidSect="00942D0F">
      <w:footerReference w:type="even" r:id="rId8"/>
      <w:footerReference w:type="default" r:id="rId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B96F" w14:textId="77777777" w:rsidR="00EC0241" w:rsidRDefault="00EC0241" w:rsidP="00B91EC3">
      <w:r>
        <w:separator/>
      </w:r>
    </w:p>
  </w:endnote>
  <w:endnote w:type="continuationSeparator" w:id="0">
    <w:p w14:paraId="3FDC6704" w14:textId="77777777" w:rsidR="00EC0241" w:rsidRDefault="00EC0241" w:rsidP="00B91EC3">
      <w:r>
        <w:continuationSeparator/>
      </w:r>
    </w:p>
  </w:endnote>
  <w:endnote w:id="1">
    <w:p w14:paraId="53DD626C" w14:textId="5C234E6F" w:rsidR="00884E52" w:rsidRPr="000B400B" w:rsidRDefault="003459BE" w:rsidP="007B5819">
      <w:pPr>
        <w:jc w:val="both"/>
        <w:rPr>
          <w:rFonts w:ascii="Times" w:hAnsi="Times"/>
          <w:sz w:val="20"/>
          <w:szCs w:val="20"/>
        </w:rPr>
      </w:pPr>
      <w:r w:rsidRPr="005118DF">
        <w:rPr>
          <w:rStyle w:val="EndnoteReference"/>
          <w:sz w:val="20"/>
          <w:szCs w:val="20"/>
        </w:rPr>
        <w:endnoteRef/>
      </w:r>
      <w:r w:rsidR="00884E52" w:rsidRPr="005118DF">
        <w:rPr>
          <w:rFonts w:ascii="Times" w:hAnsi="Times"/>
          <w:sz w:val="20"/>
          <w:szCs w:val="20"/>
        </w:rPr>
        <w:t xml:space="preserve"> </w:t>
      </w:r>
      <w:r w:rsidR="006806D6" w:rsidRPr="005118DF">
        <w:rPr>
          <w:rFonts w:ascii="Times" w:hAnsi="Times"/>
          <w:sz w:val="20"/>
          <w:szCs w:val="20"/>
        </w:rPr>
        <w:t xml:space="preserve">1983-present, </w:t>
      </w:r>
      <w:r w:rsidR="00884E52" w:rsidRPr="005118DF">
        <w:rPr>
          <w:rFonts w:ascii="Times" w:hAnsi="Times"/>
          <w:sz w:val="20"/>
          <w:szCs w:val="20"/>
        </w:rPr>
        <w:t>relevant Presidential Executive Orders, proclamations and related acts</w:t>
      </w:r>
      <w:r w:rsidR="006806D6" w:rsidRPr="005118DF">
        <w:rPr>
          <w:rFonts w:ascii="Times" w:hAnsi="Times"/>
          <w:sz w:val="20"/>
          <w:szCs w:val="20"/>
        </w:rPr>
        <w:t>, partial list</w:t>
      </w:r>
      <w:r w:rsidR="00884E52" w:rsidRPr="005118DF">
        <w:rPr>
          <w:rFonts w:ascii="Times" w:hAnsi="Times"/>
          <w:sz w:val="20"/>
          <w:szCs w:val="20"/>
        </w:rPr>
        <w:t>: Executive Order 12452, 1983 (expanded list of communicable diseases subjecting citizens to forcible apprehension and detention under HHS Secretary quarantine authority</w:t>
      </w:r>
      <w:r w:rsidR="001F167C" w:rsidRPr="005118DF">
        <w:rPr>
          <w:rFonts w:ascii="Times" w:hAnsi="Times"/>
          <w:sz w:val="20"/>
          <w:szCs w:val="20"/>
        </w:rPr>
        <w:t>)</w:t>
      </w:r>
      <w:r w:rsidR="00884E52" w:rsidRPr="005118DF">
        <w:rPr>
          <w:rFonts w:ascii="Times" w:hAnsi="Times"/>
          <w:sz w:val="20"/>
          <w:szCs w:val="20"/>
        </w:rPr>
        <w:t xml:space="preserve">; EO 13139, 1999 (forced experimental, unapproved </w:t>
      </w:r>
      <w:r w:rsidR="001F167C" w:rsidRPr="005118DF">
        <w:rPr>
          <w:rFonts w:ascii="Times" w:hAnsi="Times"/>
          <w:sz w:val="20"/>
          <w:szCs w:val="20"/>
        </w:rPr>
        <w:t>'</w:t>
      </w:r>
      <w:r w:rsidR="00884E52" w:rsidRPr="005118DF">
        <w:rPr>
          <w:rFonts w:ascii="Times" w:hAnsi="Times"/>
          <w:sz w:val="20"/>
          <w:szCs w:val="20"/>
        </w:rPr>
        <w:t>vaccines</w:t>
      </w:r>
      <w:r w:rsidR="001F167C" w:rsidRPr="005118DF">
        <w:rPr>
          <w:rFonts w:ascii="Times" w:hAnsi="Times"/>
          <w:sz w:val="20"/>
          <w:szCs w:val="20"/>
        </w:rPr>
        <w:t>'</w:t>
      </w:r>
      <w:r w:rsidR="00884E52" w:rsidRPr="005118DF">
        <w:rPr>
          <w:rFonts w:ascii="Times" w:hAnsi="Times"/>
          <w:sz w:val="20"/>
          <w:szCs w:val="20"/>
        </w:rPr>
        <w:t xml:space="preserve"> on armed forces without informed consent); Proclamation 7463, 2001 (</w:t>
      </w:r>
      <w:r w:rsidRPr="005118DF">
        <w:rPr>
          <w:rFonts w:ascii="Times" w:hAnsi="Times"/>
          <w:sz w:val="20"/>
          <w:szCs w:val="20"/>
        </w:rPr>
        <w:t xml:space="preserve">Declaration of National Emergency by Reason of Certain Terrorist Attacks, </w:t>
      </w:r>
      <w:r w:rsidR="00884E52" w:rsidRPr="005118DF">
        <w:rPr>
          <w:rFonts w:ascii="Times" w:hAnsi="Times"/>
          <w:sz w:val="20"/>
          <w:szCs w:val="20"/>
        </w:rPr>
        <w:t xml:space="preserve">renewed annually since); EO 13295, 2003 (added </w:t>
      </w:r>
      <w:r w:rsidR="00884E52" w:rsidRPr="005118DF">
        <w:rPr>
          <w:rFonts w:ascii="Times" w:hAnsi="Times"/>
          <w:b/>
          <w:bCs/>
          <w:sz w:val="20"/>
          <w:szCs w:val="20"/>
        </w:rPr>
        <w:t>symptomatic SARS</w:t>
      </w:r>
      <w:r w:rsidR="00884E52" w:rsidRPr="005118DF">
        <w:rPr>
          <w:rFonts w:ascii="Times" w:hAnsi="Times"/>
          <w:sz w:val="20"/>
          <w:szCs w:val="20"/>
        </w:rPr>
        <w:t xml:space="preserve"> to quarantinable communicable diseases); EO 13375, 2005 (added </w:t>
      </w:r>
      <w:r w:rsidR="00884E52" w:rsidRPr="005118DF">
        <w:rPr>
          <w:rFonts w:ascii="Times" w:hAnsi="Times"/>
          <w:b/>
          <w:bCs/>
          <w:sz w:val="20"/>
          <w:szCs w:val="20"/>
        </w:rPr>
        <w:t>symptomatic influenza</w:t>
      </w:r>
      <w:r w:rsidR="00884E52" w:rsidRPr="005118DF">
        <w:rPr>
          <w:rFonts w:ascii="Times" w:hAnsi="Times"/>
          <w:sz w:val="20"/>
          <w:szCs w:val="20"/>
        </w:rPr>
        <w:t xml:space="preserve"> to quarantinable communicable diseases;</w:t>
      </w:r>
      <w:r w:rsidR="00884E52" w:rsidRPr="005118DF">
        <w:rPr>
          <w:rFonts w:ascii="Times" w:hAnsi="Times"/>
          <w:b/>
          <w:bCs/>
          <w:sz w:val="20"/>
          <w:szCs w:val="20"/>
        </w:rPr>
        <w:t xml:space="preserve"> </w:t>
      </w:r>
      <w:r w:rsidR="006806D6" w:rsidRPr="005118DF">
        <w:rPr>
          <w:rFonts w:ascii="Times" w:hAnsi="Times"/>
          <w:sz w:val="20"/>
          <w:szCs w:val="20"/>
        </w:rPr>
        <w:t>National Security Presidential Directive 51, 2007;</w:t>
      </w:r>
      <w:r w:rsidR="006806D6" w:rsidRPr="005118DF">
        <w:rPr>
          <w:rFonts w:ascii="Times" w:hAnsi="Times"/>
          <w:b/>
          <w:bCs/>
          <w:sz w:val="20"/>
          <w:szCs w:val="20"/>
        </w:rPr>
        <w:t xml:space="preserve"> </w:t>
      </w:r>
      <w:r w:rsidR="001F1C18" w:rsidRPr="005118DF">
        <w:rPr>
          <w:rFonts w:ascii="Times" w:hAnsi="Times"/>
          <w:sz w:val="20"/>
          <w:szCs w:val="20"/>
        </w:rPr>
        <w:t xml:space="preserve">EO 13527, 2009 </w:t>
      </w:r>
      <w:r w:rsidR="00321FE6" w:rsidRPr="005118DF">
        <w:rPr>
          <w:rFonts w:ascii="Times" w:hAnsi="Times"/>
          <w:sz w:val="20"/>
          <w:szCs w:val="20"/>
        </w:rPr>
        <w:t>(</w:t>
      </w:r>
      <w:r w:rsidR="001F1C18" w:rsidRPr="005118DF">
        <w:rPr>
          <w:rFonts w:ascii="Times" w:hAnsi="Times"/>
          <w:i/>
          <w:iCs/>
          <w:sz w:val="20"/>
          <w:szCs w:val="20"/>
        </w:rPr>
        <w:t>Establishing Federal Capability for the Timely Provision of Medical Countermeasures Following a Biological Attack</w:t>
      </w:r>
      <w:r w:rsidR="00321FE6" w:rsidRPr="005118DF">
        <w:rPr>
          <w:rFonts w:ascii="Times" w:hAnsi="Times"/>
          <w:i/>
          <w:iCs/>
          <w:sz w:val="20"/>
          <w:szCs w:val="20"/>
        </w:rPr>
        <w:t>)</w:t>
      </w:r>
      <w:r w:rsidR="001F1C18" w:rsidRPr="005118DF">
        <w:rPr>
          <w:rFonts w:ascii="Times" w:hAnsi="Times"/>
          <w:b/>
          <w:bCs/>
          <w:sz w:val="20"/>
          <w:szCs w:val="20"/>
        </w:rPr>
        <w:t xml:space="preserve">; </w:t>
      </w:r>
      <w:r w:rsidR="000B400B" w:rsidRPr="000B400B">
        <w:rPr>
          <w:rFonts w:ascii="Times" w:hAnsi="Times"/>
          <w:sz w:val="20"/>
          <w:szCs w:val="20"/>
        </w:rPr>
        <w:t>EO 13601, 2012 (</w:t>
      </w:r>
      <w:r w:rsidR="000B400B" w:rsidRPr="000B400B">
        <w:rPr>
          <w:rFonts w:ascii="Times" w:hAnsi="Times"/>
          <w:i/>
          <w:iCs/>
          <w:sz w:val="20"/>
          <w:szCs w:val="20"/>
        </w:rPr>
        <w:t>National Defense Resources Preparedness</w:t>
      </w:r>
      <w:r w:rsidR="000B400B" w:rsidRPr="000B400B">
        <w:rPr>
          <w:rFonts w:ascii="Times" w:hAnsi="Times"/>
          <w:sz w:val="20"/>
          <w:szCs w:val="20"/>
        </w:rPr>
        <w:t>)</w:t>
      </w:r>
      <w:r w:rsidR="000B400B">
        <w:rPr>
          <w:rFonts w:ascii="Times" w:hAnsi="Times"/>
          <w:b/>
          <w:bCs/>
          <w:sz w:val="20"/>
          <w:szCs w:val="20"/>
        </w:rPr>
        <w:t xml:space="preserve">; </w:t>
      </w:r>
      <w:r w:rsidR="00884E52" w:rsidRPr="005118DF">
        <w:rPr>
          <w:rFonts w:ascii="Times" w:hAnsi="Times"/>
          <w:sz w:val="20"/>
          <w:szCs w:val="20"/>
        </w:rPr>
        <w:t xml:space="preserve">EO 13674, 2014 (added </w:t>
      </w:r>
      <w:r w:rsidR="00884E52" w:rsidRPr="005118DF">
        <w:rPr>
          <w:rFonts w:ascii="Times" w:hAnsi="Times"/>
          <w:b/>
          <w:bCs/>
          <w:sz w:val="20"/>
          <w:szCs w:val="20"/>
        </w:rPr>
        <w:t>asymptomatic, suspected SARS</w:t>
      </w:r>
      <w:r w:rsidR="00884E52" w:rsidRPr="005118DF">
        <w:rPr>
          <w:rFonts w:ascii="Times" w:hAnsi="Times"/>
          <w:sz w:val="20"/>
          <w:szCs w:val="20"/>
        </w:rPr>
        <w:t xml:space="preserve"> to quarantinable communicable diseases); EO 13747, 2016 (</w:t>
      </w:r>
      <w:r w:rsidR="00884E52" w:rsidRPr="005118DF">
        <w:rPr>
          <w:rFonts w:ascii="Times" w:hAnsi="Times"/>
          <w:i/>
          <w:iCs/>
          <w:sz w:val="20"/>
          <w:szCs w:val="20"/>
        </w:rPr>
        <w:t xml:space="preserve">Advancing the </w:t>
      </w:r>
      <w:r w:rsidR="00884E52" w:rsidRPr="005118DF">
        <w:rPr>
          <w:rFonts w:ascii="Times" w:hAnsi="Times"/>
          <w:b/>
          <w:bCs/>
          <w:i/>
          <w:iCs/>
          <w:sz w:val="20"/>
          <w:szCs w:val="20"/>
        </w:rPr>
        <w:t>Global Health Security Agenda</w:t>
      </w:r>
      <w:r w:rsidR="00884E52" w:rsidRPr="005118DF">
        <w:rPr>
          <w:rFonts w:ascii="Times" w:hAnsi="Times"/>
          <w:i/>
          <w:iCs/>
          <w:sz w:val="20"/>
          <w:szCs w:val="20"/>
        </w:rPr>
        <w:t xml:space="preserve"> to Achieve a World Safe and Secure from Infectious Disease Threats</w:t>
      </w:r>
      <w:r w:rsidR="00884E52" w:rsidRPr="005118DF">
        <w:rPr>
          <w:rFonts w:ascii="Times" w:hAnsi="Times"/>
          <w:sz w:val="20"/>
          <w:szCs w:val="20"/>
        </w:rPr>
        <w:t>); EO 13887, 2019 (</w:t>
      </w:r>
      <w:r w:rsidR="00884E52" w:rsidRPr="005118DF">
        <w:rPr>
          <w:rFonts w:ascii="Times" w:hAnsi="Times"/>
          <w:i/>
          <w:iCs/>
          <w:sz w:val="20"/>
          <w:szCs w:val="20"/>
        </w:rPr>
        <w:t>Modernizing Influenza Vaccines in the United States to Promote National Security and Public Health;</w:t>
      </w:r>
      <w:r w:rsidR="00884E52" w:rsidRPr="005118DF">
        <w:rPr>
          <w:rFonts w:ascii="Times" w:hAnsi="Times"/>
          <w:sz w:val="20"/>
          <w:szCs w:val="20"/>
        </w:rPr>
        <w:t xml:space="preserve"> directed </w:t>
      </w:r>
      <w:r w:rsidR="00884E52" w:rsidRPr="005118DF">
        <w:rPr>
          <w:rFonts w:ascii="Times" w:hAnsi="Times"/>
          <w:b/>
          <w:bCs/>
          <w:sz w:val="20"/>
          <w:szCs w:val="20"/>
        </w:rPr>
        <w:t>rapid-deployment mRNA/DNA/LNP/nanotech drugs and devices</w:t>
      </w:r>
      <w:r w:rsidR="00884E52" w:rsidRPr="005118DF">
        <w:rPr>
          <w:rFonts w:ascii="Times" w:hAnsi="Times"/>
          <w:sz w:val="20"/>
          <w:szCs w:val="20"/>
        </w:rPr>
        <w:t xml:space="preserve">); </w:t>
      </w:r>
      <w:r w:rsidRPr="005118DF">
        <w:rPr>
          <w:rFonts w:ascii="Times" w:hAnsi="Times"/>
          <w:sz w:val="20"/>
          <w:szCs w:val="20"/>
        </w:rPr>
        <w:t xml:space="preserve">Proclamation 9994, 2020 (Declaring a National Emergency Concerning the Novel Coronavirus Disease (COVID–19) Outbreak, renewed annually since); </w:t>
      </w:r>
      <w:r w:rsidR="000B400B">
        <w:rPr>
          <w:rFonts w:ascii="Times" w:hAnsi="Times"/>
          <w:sz w:val="20"/>
          <w:szCs w:val="20"/>
        </w:rPr>
        <w:t>EO</w:t>
      </w:r>
      <w:r w:rsidR="000B400B" w:rsidRPr="000B400B">
        <w:rPr>
          <w:rFonts w:ascii="Times" w:hAnsi="Times"/>
          <w:sz w:val="20"/>
          <w:szCs w:val="20"/>
        </w:rPr>
        <w:t xml:space="preserve"> 13909, </w:t>
      </w:r>
      <w:r w:rsidR="000B400B">
        <w:rPr>
          <w:rFonts w:ascii="Times" w:hAnsi="Times"/>
          <w:sz w:val="20"/>
          <w:szCs w:val="20"/>
        </w:rPr>
        <w:t>2020 (</w:t>
      </w:r>
      <w:r w:rsidR="000B400B" w:rsidRPr="000B400B">
        <w:rPr>
          <w:rFonts w:ascii="Times" w:hAnsi="Times"/>
          <w:i/>
          <w:iCs/>
          <w:sz w:val="20"/>
          <w:szCs w:val="20"/>
        </w:rPr>
        <w:t>Prioritizing and Allocating Health and Medical Resources to Respond to the Spread of COVID–19</w:t>
      </w:r>
      <w:r w:rsidR="000B400B">
        <w:rPr>
          <w:rFonts w:ascii="Times" w:hAnsi="Times"/>
          <w:i/>
          <w:iCs/>
          <w:sz w:val="20"/>
          <w:szCs w:val="20"/>
        </w:rPr>
        <w:t xml:space="preserve">): </w:t>
      </w:r>
      <w:r w:rsidR="000B400B" w:rsidRPr="000B400B">
        <w:rPr>
          <w:rFonts w:ascii="Times" w:hAnsi="Times"/>
          <w:sz w:val="20"/>
          <w:szCs w:val="20"/>
        </w:rPr>
        <w:t>E</w:t>
      </w:r>
      <w:r w:rsidR="000B400B">
        <w:rPr>
          <w:rFonts w:ascii="Times" w:hAnsi="Times"/>
          <w:sz w:val="20"/>
          <w:szCs w:val="20"/>
        </w:rPr>
        <w:t>O</w:t>
      </w:r>
      <w:r w:rsidR="000B400B" w:rsidRPr="000B400B">
        <w:rPr>
          <w:rFonts w:ascii="Times" w:hAnsi="Times"/>
          <w:sz w:val="20"/>
          <w:szCs w:val="20"/>
        </w:rPr>
        <w:t xml:space="preserve"> 13910, </w:t>
      </w:r>
      <w:r w:rsidR="000B400B">
        <w:rPr>
          <w:rFonts w:ascii="Times" w:hAnsi="Times"/>
          <w:sz w:val="20"/>
          <w:szCs w:val="20"/>
        </w:rPr>
        <w:t>2020 (</w:t>
      </w:r>
      <w:r w:rsidR="000B400B" w:rsidRPr="000B400B">
        <w:rPr>
          <w:rFonts w:ascii="Times" w:hAnsi="Times"/>
          <w:i/>
          <w:iCs/>
          <w:sz w:val="20"/>
          <w:szCs w:val="20"/>
        </w:rPr>
        <w:t>Preventing Hoarding of Health and Medical Resources To Respond to the Spread of COVID–19</w:t>
      </w:r>
      <w:r w:rsidR="000B400B">
        <w:rPr>
          <w:rFonts w:ascii="Times" w:hAnsi="Times"/>
          <w:sz w:val="20"/>
          <w:szCs w:val="20"/>
        </w:rPr>
        <w:t xml:space="preserve">); </w:t>
      </w:r>
      <w:r w:rsidR="0082329A">
        <w:rPr>
          <w:rFonts w:ascii="Times" w:hAnsi="Times"/>
          <w:sz w:val="20"/>
          <w:szCs w:val="20"/>
        </w:rPr>
        <w:t>EO 139</w:t>
      </w:r>
      <w:r w:rsidR="000B400B">
        <w:rPr>
          <w:rFonts w:ascii="Times" w:hAnsi="Times"/>
          <w:sz w:val="20"/>
          <w:szCs w:val="20"/>
        </w:rPr>
        <w:t>1</w:t>
      </w:r>
      <w:r w:rsidR="0082329A">
        <w:rPr>
          <w:rFonts w:ascii="Times" w:hAnsi="Times"/>
          <w:sz w:val="20"/>
          <w:szCs w:val="20"/>
        </w:rPr>
        <w:t>1</w:t>
      </w:r>
      <w:r w:rsidR="0082329A" w:rsidRPr="0082329A">
        <w:rPr>
          <w:rFonts w:ascii="Times" w:hAnsi="Times"/>
          <w:sz w:val="20"/>
          <w:szCs w:val="20"/>
        </w:rPr>
        <w:t xml:space="preserve">, </w:t>
      </w:r>
      <w:r w:rsidR="000B400B">
        <w:rPr>
          <w:rFonts w:ascii="Times" w:hAnsi="Times"/>
          <w:sz w:val="20"/>
          <w:szCs w:val="20"/>
        </w:rPr>
        <w:t>2020 (</w:t>
      </w:r>
      <w:r w:rsidR="0082329A" w:rsidRPr="0082329A">
        <w:rPr>
          <w:rFonts w:ascii="Times" w:hAnsi="Times"/>
          <w:i/>
          <w:iCs/>
          <w:sz w:val="20"/>
          <w:szCs w:val="20"/>
        </w:rPr>
        <w:t>Delegating Additional Authority Under the Defense Production Act With Respect to Health and Medical Resources To Respond to the Spread of COVID–19</w:t>
      </w:r>
      <w:r w:rsidR="000B400B">
        <w:rPr>
          <w:rFonts w:ascii="Times" w:hAnsi="Times"/>
          <w:i/>
          <w:iCs/>
          <w:sz w:val="20"/>
          <w:szCs w:val="20"/>
        </w:rPr>
        <w:t>)</w:t>
      </w:r>
      <w:r w:rsidR="0082329A" w:rsidRPr="0082329A">
        <w:rPr>
          <w:rFonts w:ascii="Times" w:hAnsi="Times"/>
          <w:sz w:val="20"/>
          <w:szCs w:val="20"/>
        </w:rPr>
        <w:t xml:space="preserve">; </w:t>
      </w:r>
      <w:r w:rsidR="00884E52" w:rsidRPr="005118DF">
        <w:rPr>
          <w:rFonts w:ascii="Times" w:hAnsi="Times"/>
          <w:sz w:val="20"/>
          <w:szCs w:val="20"/>
        </w:rPr>
        <w:t xml:space="preserve">EO 14047, 2021 (added </w:t>
      </w:r>
      <w:r w:rsidR="00884E52" w:rsidRPr="005118DF">
        <w:rPr>
          <w:rFonts w:ascii="Times" w:hAnsi="Times"/>
          <w:b/>
          <w:bCs/>
          <w:sz w:val="20"/>
          <w:szCs w:val="20"/>
        </w:rPr>
        <w:t>measles</w:t>
      </w:r>
      <w:r w:rsidR="00884E52" w:rsidRPr="005118DF">
        <w:rPr>
          <w:rFonts w:ascii="Times" w:hAnsi="Times"/>
          <w:sz w:val="20"/>
          <w:szCs w:val="20"/>
        </w:rPr>
        <w:t xml:space="preserve"> to the list of quarantinable communicable diseases); EO 14081, 2022 (</w:t>
      </w:r>
      <w:r w:rsidR="00884E52" w:rsidRPr="005118DF">
        <w:rPr>
          <w:rFonts w:ascii="Times" w:hAnsi="Times"/>
          <w:i/>
          <w:iCs/>
          <w:sz w:val="20"/>
          <w:szCs w:val="20"/>
        </w:rPr>
        <w:t>Advancing Biotechnology and Biomanufacturing Innovation for a Sustainable, Safe, and Secure American Bioeconomy</w:t>
      </w:r>
      <w:r w:rsidR="00884E52" w:rsidRPr="005118DF">
        <w:rPr>
          <w:rFonts w:ascii="Times" w:hAnsi="Times"/>
          <w:sz w:val="20"/>
          <w:szCs w:val="20"/>
        </w:rPr>
        <w:t>.)</w:t>
      </w:r>
    </w:p>
    <w:p w14:paraId="6F15B74D" w14:textId="77777777" w:rsidR="00884E52" w:rsidRPr="005118DF" w:rsidRDefault="00884E52" w:rsidP="007B5819">
      <w:pPr>
        <w:jc w:val="both"/>
        <w:rPr>
          <w:rFonts w:ascii="Times" w:hAnsi="Times"/>
          <w:sz w:val="20"/>
          <w:szCs w:val="20"/>
        </w:rPr>
      </w:pPr>
    </w:p>
  </w:endnote>
  <w:endnote w:id="2">
    <w:p w14:paraId="2F25FEA8" w14:textId="230E7018" w:rsidR="00942D0F" w:rsidRPr="005118DF" w:rsidRDefault="00942D0F" w:rsidP="007B5819">
      <w:pPr>
        <w:jc w:val="both"/>
        <w:rPr>
          <w:rFonts w:ascii="Times" w:eastAsiaTheme="minorHAnsi" w:hAnsi="Times" w:cstheme="minorBidi"/>
          <w:sz w:val="20"/>
          <w:szCs w:val="20"/>
        </w:rPr>
      </w:pPr>
      <w:r w:rsidRPr="005118DF">
        <w:rPr>
          <w:rStyle w:val="EndnoteReference"/>
          <w:sz w:val="20"/>
          <w:szCs w:val="20"/>
        </w:rPr>
        <w:endnoteRef/>
      </w:r>
      <w:r w:rsidRPr="005118DF">
        <w:rPr>
          <w:sz w:val="20"/>
          <w:szCs w:val="20"/>
        </w:rPr>
        <w:t xml:space="preserve"> </w:t>
      </w:r>
      <w:r w:rsidR="006806D6" w:rsidRPr="005118DF">
        <w:rPr>
          <w:sz w:val="20"/>
          <w:szCs w:val="20"/>
        </w:rPr>
        <w:t xml:space="preserve">1981-present, </w:t>
      </w:r>
      <w:r w:rsidRPr="005118DF">
        <w:rPr>
          <w:rFonts w:ascii="Times" w:hAnsi="Times"/>
          <w:sz w:val="20"/>
          <w:szCs w:val="20"/>
        </w:rPr>
        <w:t>relevant HHS Proposed Rules, Final Rules, Notices, and Guidance for Industry</w:t>
      </w:r>
      <w:r w:rsidR="006806D6" w:rsidRPr="005118DF">
        <w:rPr>
          <w:rFonts w:ascii="Times" w:hAnsi="Times"/>
          <w:sz w:val="20"/>
          <w:szCs w:val="20"/>
        </w:rPr>
        <w:t>, partial list</w:t>
      </w:r>
      <w:r w:rsidRPr="005118DF">
        <w:rPr>
          <w:rFonts w:ascii="Times" w:hAnsi="Times"/>
          <w:sz w:val="20"/>
          <w:szCs w:val="20"/>
        </w:rPr>
        <w:t xml:space="preserve">: HHS-Food and Drug Administration Final Rule Protections for Human Subjects; Prisoners Used as Subjects in Research (1981); HHS-FDA Final Rule Protection of Human Subjects; Informed Consent (1981); HHS Interim Final Rule: Informed Consent for Human Drugs and Biologics; Determination that Informed Consent is Not Feasible (1990); 1991 Common Rule (1991); HHS-FDA </w:t>
      </w:r>
      <w:r w:rsidRPr="005118DF">
        <w:rPr>
          <w:rFonts w:ascii="Times" w:eastAsiaTheme="minorHAnsi" w:hAnsi="Times" w:cstheme="minorBidi"/>
          <w:sz w:val="20"/>
          <w:szCs w:val="20"/>
        </w:rPr>
        <w:t xml:space="preserve">Guidance for Human Somatic Cell Therapy and Gene Therapy </w:t>
      </w:r>
      <w:r w:rsidRPr="005118DF">
        <w:rPr>
          <w:rFonts w:ascii="Times" w:hAnsi="Times"/>
          <w:sz w:val="20"/>
          <w:szCs w:val="20"/>
        </w:rPr>
        <w:t>(1998); HHS Interim Final Rule - Human Drugs and Biologics; Determination That Informed Consent Is NOT Feasible or Is Contrary to the Best Interests of Recipients; Revocation of 1990 Interim Final Rule; Establishment of New Interim Final Rule (1999); HHS</w:t>
      </w:r>
      <w:r w:rsidR="001F167C" w:rsidRPr="005118DF">
        <w:rPr>
          <w:rFonts w:ascii="Times" w:hAnsi="Times"/>
          <w:sz w:val="20"/>
          <w:szCs w:val="20"/>
        </w:rPr>
        <w:t>-</w:t>
      </w:r>
      <w:r w:rsidRPr="005118DF">
        <w:rPr>
          <w:rFonts w:ascii="Times" w:hAnsi="Times"/>
          <w:sz w:val="20"/>
          <w:szCs w:val="20"/>
        </w:rPr>
        <w:t>FDA Draft Guidance Re: Emergency Use Authorization of Medical Products (2005); HHS-FDA Interim Final Rule, Medical Devices; Exception From General Requirements for Informed Consent (2006) HHS</w:t>
      </w:r>
      <w:r w:rsidR="001F167C" w:rsidRPr="005118DF">
        <w:rPr>
          <w:rFonts w:ascii="Times" w:hAnsi="Times"/>
          <w:sz w:val="20"/>
          <w:szCs w:val="20"/>
        </w:rPr>
        <w:t>-</w:t>
      </w:r>
      <w:r w:rsidRPr="005118DF">
        <w:rPr>
          <w:rFonts w:ascii="Times" w:hAnsi="Times"/>
          <w:sz w:val="20"/>
          <w:szCs w:val="20"/>
        </w:rPr>
        <w:t>FDA Guidance: Gene Therapy Clinical Trials - Observing Subjects for Delayed Adverse Effects (2006); HHS</w:t>
      </w:r>
      <w:r w:rsidR="001F167C" w:rsidRPr="005118DF">
        <w:rPr>
          <w:rFonts w:ascii="Times" w:hAnsi="Times"/>
          <w:sz w:val="20"/>
          <w:szCs w:val="20"/>
        </w:rPr>
        <w:t>-</w:t>
      </w:r>
      <w:r w:rsidRPr="005118DF">
        <w:rPr>
          <w:rFonts w:ascii="Times" w:hAnsi="Times"/>
          <w:sz w:val="20"/>
          <w:szCs w:val="20"/>
        </w:rPr>
        <w:t>FDA Guidance - Emergency Use Authorization of Medical Products (2007); HHS Interim Final Rule - FDA Exceptions or Alternatives to Labeling Requirements for Products Held by the Strategic National Stockpile. (2007); HHS-FDA Final Rule: Medical Devices; Exception From General Requirements for Informed Consent (2011); HHS</w:t>
      </w:r>
      <w:r w:rsidR="00875149" w:rsidRPr="005118DF">
        <w:rPr>
          <w:rFonts w:ascii="Times" w:hAnsi="Times"/>
          <w:sz w:val="20"/>
          <w:szCs w:val="20"/>
        </w:rPr>
        <w:t>-</w:t>
      </w:r>
      <w:r w:rsidRPr="005118DF">
        <w:rPr>
          <w:rFonts w:ascii="Times" w:hAnsi="Times"/>
          <w:sz w:val="20"/>
          <w:szCs w:val="20"/>
        </w:rPr>
        <w:t xml:space="preserve">FDA Guidance: Potency Tests for Cellular and Gene Therapy Products (2011); HHS-FDA </w:t>
      </w:r>
      <w:r w:rsidRPr="005118DF">
        <w:rPr>
          <w:rFonts w:ascii="Times" w:eastAsiaTheme="minorHAnsi" w:hAnsi="Times" w:cstheme="minorBidi"/>
          <w:sz w:val="20"/>
          <w:szCs w:val="20"/>
        </w:rPr>
        <w:t xml:space="preserve">Preclinical Assessment of Investigational Cellular and Gene Therapy Products </w:t>
      </w:r>
      <w:r w:rsidRPr="005118DF">
        <w:rPr>
          <w:rFonts w:ascii="Times" w:hAnsi="Times"/>
          <w:sz w:val="20"/>
          <w:szCs w:val="20"/>
        </w:rPr>
        <w:t>(2013</w:t>
      </w:r>
      <w:r w:rsidRPr="005118DF">
        <w:rPr>
          <w:rFonts w:ascii="Times" w:hAnsi="Times"/>
          <w:b/>
          <w:bCs/>
          <w:sz w:val="20"/>
          <w:szCs w:val="20"/>
        </w:rPr>
        <w:t xml:space="preserve">); </w:t>
      </w:r>
      <w:r w:rsidRPr="005118DF">
        <w:rPr>
          <w:rFonts w:ascii="Times" w:hAnsi="Times"/>
          <w:sz w:val="20"/>
          <w:szCs w:val="20"/>
        </w:rPr>
        <w:t>HHS</w:t>
      </w:r>
      <w:r w:rsidR="00875149" w:rsidRPr="005118DF">
        <w:rPr>
          <w:rFonts w:ascii="Times" w:hAnsi="Times"/>
          <w:sz w:val="20"/>
          <w:szCs w:val="20"/>
        </w:rPr>
        <w:t>-</w:t>
      </w:r>
      <w:r w:rsidRPr="005118DF">
        <w:rPr>
          <w:rFonts w:ascii="Times" w:hAnsi="Times"/>
          <w:sz w:val="20"/>
          <w:szCs w:val="20"/>
        </w:rPr>
        <w:t>FDA Guidance: Decisions for Investigational Device Exemption Clinical Investigations (2014); HHS</w:t>
      </w:r>
      <w:r w:rsidR="00875149" w:rsidRPr="005118DF">
        <w:rPr>
          <w:rFonts w:ascii="Times" w:hAnsi="Times"/>
          <w:sz w:val="20"/>
          <w:szCs w:val="20"/>
        </w:rPr>
        <w:t>-</w:t>
      </w:r>
      <w:r w:rsidRPr="005118DF">
        <w:rPr>
          <w:rFonts w:ascii="Times" w:hAnsi="Times"/>
          <w:sz w:val="20"/>
          <w:szCs w:val="20"/>
        </w:rPr>
        <w:t xml:space="preserve">FDA </w:t>
      </w:r>
      <w:r w:rsidRPr="005118DF">
        <w:rPr>
          <w:rFonts w:ascii="Times" w:eastAsiaTheme="minorHAnsi" w:hAnsi="Times" w:cstheme="minorBidi"/>
          <w:sz w:val="20"/>
          <w:szCs w:val="20"/>
        </w:rPr>
        <w:t xml:space="preserve">Considerations for the Design of Early-Phase Clinical Trials of Cellular and Gene Therapy Products </w:t>
      </w:r>
      <w:r w:rsidRPr="005118DF">
        <w:rPr>
          <w:rFonts w:ascii="Times" w:hAnsi="Times"/>
          <w:sz w:val="20"/>
          <w:szCs w:val="20"/>
        </w:rPr>
        <w:t>(2015); HHS</w:t>
      </w:r>
      <w:r w:rsidR="00875149" w:rsidRPr="005118DF">
        <w:rPr>
          <w:rFonts w:ascii="Times" w:hAnsi="Times"/>
          <w:sz w:val="20"/>
          <w:szCs w:val="20"/>
        </w:rPr>
        <w:t>-</w:t>
      </w:r>
      <w:r w:rsidRPr="005118DF">
        <w:rPr>
          <w:rFonts w:ascii="Times" w:hAnsi="Times"/>
          <w:sz w:val="20"/>
          <w:szCs w:val="20"/>
        </w:rPr>
        <w:t>FDA Guidance: Design and Analysis of Shedding Studies for Virus or Bacteria-Based Gene Therapy and Oncolytic Products (2015); HHS Final Rule - HHS Clinical Trials Registration and Results (2016); HHS Workshop Summary - The Nation's Medical Countermeasure Stockpile: Opportunities to Improve the Efficiency, Effectiveness, and Sustainability of the CDC Strategic National Stockpile (2016); HHS</w:t>
      </w:r>
      <w:r w:rsidR="001F167C" w:rsidRPr="005118DF">
        <w:rPr>
          <w:rFonts w:ascii="Times" w:hAnsi="Times"/>
          <w:sz w:val="20"/>
          <w:szCs w:val="20"/>
        </w:rPr>
        <w:t>-</w:t>
      </w:r>
      <w:r w:rsidRPr="005118DF">
        <w:rPr>
          <w:rFonts w:ascii="Times" w:hAnsi="Times"/>
          <w:sz w:val="20"/>
          <w:szCs w:val="20"/>
        </w:rPr>
        <w:t>FDA Guidance: Emergency Use Authorization of Medical Products and Related Authorities (2017); HHS Final Rule - Federal Policy for the Protection of Human Subjects (2017); HHS Final Rule - Control of Communicable Diseases (2017); HHS</w:t>
      </w:r>
      <w:r w:rsidR="001F167C" w:rsidRPr="005118DF">
        <w:rPr>
          <w:rFonts w:ascii="Times" w:hAnsi="Times"/>
          <w:sz w:val="20"/>
          <w:szCs w:val="20"/>
        </w:rPr>
        <w:t>-</w:t>
      </w:r>
      <w:r w:rsidRPr="005118DF">
        <w:rPr>
          <w:rFonts w:ascii="Times" w:hAnsi="Times"/>
          <w:sz w:val="20"/>
          <w:szCs w:val="20"/>
        </w:rPr>
        <w:t>FDA Guidance: IRB Waiver or Alteration of Informed Consent for Clinical Investigations Involving No More Than Minimal Risk to Human Subjects (2017); HHS</w:t>
      </w:r>
      <w:r w:rsidR="001F167C" w:rsidRPr="005118DF">
        <w:rPr>
          <w:rFonts w:ascii="Times" w:hAnsi="Times"/>
          <w:sz w:val="20"/>
          <w:szCs w:val="20"/>
        </w:rPr>
        <w:t>-</w:t>
      </w:r>
      <w:r w:rsidRPr="005118DF">
        <w:rPr>
          <w:rFonts w:ascii="Times" w:hAnsi="Times"/>
          <w:sz w:val="20"/>
          <w:szCs w:val="20"/>
        </w:rPr>
        <w:t xml:space="preserve">FDA Guidance: Use of Real-World Evidence to Support Regulatory Decision-Making for Medical Devices (2017); HHS Final Rule - Federal Policy for the Protection of Human Subjects: Six Month Delay of the General Compliance Date of Revisions While Allowing the Use of Three Burden-Reducing Provisions During the Delay Period (2018); HHS-FDA Guidance: </w:t>
      </w:r>
      <w:r w:rsidRPr="005118DF">
        <w:rPr>
          <w:rFonts w:ascii="Times" w:eastAsiaTheme="minorHAnsi" w:hAnsi="Times" w:cstheme="minorBidi"/>
          <w:sz w:val="20"/>
          <w:szCs w:val="20"/>
        </w:rPr>
        <w:t xml:space="preserve">Development and Licensure of Vaccines to Prevent COVID-19 </w:t>
      </w:r>
      <w:r w:rsidRPr="005118DF">
        <w:rPr>
          <w:rFonts w:ascii="Times" w:hAnsi="Times"/>
          <w:sz w:val="20"/>
          <w:szCs w:val="20"/>
        </w:rPr>
        <w:t xml:space="preserve">(2020); HHS-FDA Guidance: </w:t>
      </w:r>
      <w:r w:rsidRPr="005118DF">
        <w:rPr>
          <w:rFonts w:ascii="Times" w:eastAsiaTheme="minorHAnsi" w:hAnsi="Times" w:cstheme="minorBidi"/>
          <w:sz w:val="20"/>
          <w:szCs w:val="20"/>
        </w:rPr>
        <w:t xml:space="preserve">Emergency Use Authorization for </w:t>
      </w:r>
      <w:r w:rsidRPr="005118DF">
        <w:rPr>
          <w:rFonts w:ascii="Times" w:hAnsi="Times"/>
          <w:sz w:val="20"/>
          <w:szCs w:val="20"/>
        </w:rPr>
        <w:t>Vaccines to Prevent COVID-19 (2020);</w:t>
      </w:r>
      <w:r w:rsidRPr="005118DF">
        <w:rPr>
          <w:rFonts w:ascii="Times" w:hAnsi="Times"/>
          <w:b/>
          <w:bCs/>
          <w:sz w:val="20"/>
          <w:szCs w:val="20"/>
        </w:rPr>
        <w:t xml:space="preserve"> </w:t>
      </w:r>
      <w:r w:rsidRPr="005118DF">
        <w:rPr>
          <w:rFonts w:ascii="Times" w:hAnsi="Times"/>
          <w:sz w:val="20"/>
          <w:szCs w:val="20"/>
        </w:rPr>
        <w:t>HHS</w:t>
      </w:r>
      <w:r w:rsidR="001F167C" w:rsidRPr="005118DF">
        <w:rPr>
          <w:rFonts w:ascii="Times" w:hAnsi="Times"/>
          <w:sz w:val="20"/>
          <w:szCs w:val="20"/>
        </w:rPr>
        <w:t>-</w:t>
      </w:r>
      <w:r w:rsidRPr="005118DF">
        <w:rPr>
          <w:rFonts w:ascii="Times" w:hAnsi="Times"/>
          <w:sz w:val="20"/>
          <w:szCs w:val="20"/>
        </w:rPr>
        <w:t>FDA Guidance: Real-World Data - Assessing Electronic Health Records and Medical Claims Data To Support Regulatory Decision-Making for Drug and Biological Products (2021); HHS</w:t>
      </w:r>
      <w:r w:rsidR="001F167C" w:rsidRPr="005118DF">
        <w:rPr>
          <w:rFonts w:ascii="Times" w:hAnsi="Times"/>
          <w:sz w:val="20"/>
          <w:szCs w:val="20"/>
        </w:rPr>
        <w:t>-</w:t>
      </w:r>
      <w:r w:rsidRPr="005118DF">
        <w:rPr>
          <w:rFonts w:ascii="Times" w:hAnsi="Times"/>
          <w:sz w:val="20"/>
          <w:szCs w:val="20"/>
        </w:rPr>
        <w:t>FDA Guidance: Real-World Data - Assessing Registries to Support Regulatory Decision-Making for Drug and Biological Products (2021); HHS Interim Final Rule - Possession, Use, and Transfer of Select Agents and Toxins—Addition of SARS–CoV/SARS–CoV–2 Chimeric Viruses Resulting From Any Deliberate Manipulation of SARS–CoV–2 To Incorporate Nucleic Acids Coding for SARS–CoV Virulence Factors to the HHS List of Select Agents and Toxins (2021); HHS Final Rule - National Vaccine Injury Compensation Program: Adding the Category of Vaccines Recommended for Pregnant Women to the Vaccine Injury Table (2022);</w:t>
      </w:r>
      <w:r w:rsidRPr="005118DF">
        <w:rPr>
          <w:sz w:val="20"/>
          <w:szCs w:val="20"/>
        </w:rPr>
        <w:t xml:space="preserve"> </w:t>
      </w:r>
      <w:r w:rsidRPr="005118DF">
        <w:rPr>
          <w:rFonts w:ascii="Times" w:hAnsi="Times"/>
          <w:sz w:val="20"/>
          <w:szCs w:val="20"/>
        </w:rPr>
        <w:t>HHS-FDA Proposed Rules: Protection of Human Subjects and Institutional Review Boards (2022)</w:t>
      </w:r>
    </w:p>
    <w:p w14:paraId="5FA74C45" w14:textId="77777777" w:rsidR="00942D0F" w:rsidRPr="005118DF" w:rsidRDefault="00942D0F" w:rsidP="007B5819">
      <w:pPr>
        <w:jc w:val="both"/>
        <w:rPr>
          <w:rFonts w:ascii="Times" w:hAnsi="Times"/>
          <w:sz w:val="20"/>
          <w:szCs w:val="20"/>
        </w:rPr>
      </w:pPr>
    </w:p>
  </w:endnote>
  <w:endnote w:id="3">
    <w:p w14:paraId="3025D9B8" w14:textId="77777777" w:rsidR="00942D0F" w:rsidRPr="005118DF" w:rsidRDefault="00942D0F" w:rsidP="007B5819">
      <w:pPr>
        <w:pStyle w:val="NormalWeb"/>
        <w:spacing w:before="0" w:beforeAutospacing="0" w:after="0" w:afterAutospacing="0"/>
        <w:jc w:val="both"/>
        <w:rPr>
          <w:rFonts w:ascii="Times" w:hAnsi="Times"/>
          <w:sz w:val="20"/>
          <w:szCs w:val="20"/>
        </w:rPr>
      </w:pPr>
      <w:r w:rsidRPr="005118DF">
        <w:rPr>
          <w:rStyle w:val="EndnoteReference"/>
          <w:sz w:val="20"/>
          <w:szCs w:val="20"/>
        </w:rPr>
        <w:endnoteRef/>
      </w:r>
      <w:r w:rsidR="00405E05" w:rsidRPr="005118DF">
        <w:rPr>
          <w:rFonts w:ascii="Times" w:hAnsi="Times"/>
          <w:sz w:val="20"/>
          <w:szCs w:val="20"/>
        </w:rPr>
        <w:t xml:space="preserve">2018: </w:t>
      </w:r>
      <w:r w:rsidRPr="005118DF">
        <w:rPr>
          <w:rFonts w:ascii="Times" w:hAnsi="Times"/>
          <w:sz w:val="20"/>
          <w:szCs w:val="20"/>
        </w:rPr>
        <w:t xml:space="preserve">"Agent or </w:t>
      </w:r>
      <w:r w:rsidRPr="005118DF">
        <w:rPr>
          <w:rFonts w:ascii="Times" w:hAnsi="Times"/>
          <w:b/>
          <w:bCs/>
          <w:sz w:val="20"/>
          <w:szCs w:val="20"/>
        </w:rPr>
        <w:t>bioagent</w:t>
      </w:r>
      <w:r w:rsidRPr="005118DF">
        <w:rPr>
          <w:rFonts w:ascii="Times" w:hAnsi="Times"/>
          <w:i/>
          <w:iCs/>
          <w:sz w:val="20"/>
          <w:szCs w:val="20"/>
        </w:rPr>
        <w:t xml:space="preserve"> </w:t>
      </w:r>
      <w:r w:rsidRPr="005118DF">
        <w:rPr>
          <w:rFonts w:ascii="Times" w:hAnsi="Times"/>
          <w:sz w:val="20"/>
          <w:szCs w:val="20"/>
        </w:rPr>
        <w:t xml:space="preserve">is used broadly to refer to any product created using biological components that may be intended to cause harm. In the context of synthetic biology, an agent could be a pathogen, a toxin, or even a biological component, such as a genetic construct or a biochemical pathway, that may be developed with the intent to harm a human target; </w:t>
      </w:r>
      <w:r w:rsidRPr="005118DF">
        <w:rPr>
          <w:rFonts w:ascii="Times" w:hAnsi="Times"/>
          <w:b/>
          <w:bCs/>
          <w:sz w:val="20"/>
          <w:szCs w:val="20"/>
        </w:rPr>
        <w:t>Actor</w:t>
      </w:r>
      <w:r w:rsidRPr="005118DF">
        <w:rPr>
          <w:rFonts w:ascii="Times" w:hAnsi="Times"/>
          <w:sz w:val="20"/>
          <w:szCs w:val="20"/>
        </w:rPr>
        <w:t xml:space="preserve"> is used to refer to individuals or groups who may seek to </w:t>
      </w:r>
      <w:proofErr w:type="gramStart"/>
      <w:r w:rsidRPr="005118DF">
        <w:rPr>
          <w:rFonts w:ascii="Times" w:hAnsi="Times"/>
          <w:sz w:val="20"/>
          <w:szCs w:val="20"/>
        </w:rPr>
        <w:t>effect</w:t>
      </w:r>
      <w:proofErr w:type="gramEnd"/>
      <w:r w:rsidRPr="005118DF">
        <w:rPr>
          <w:rFonts w:ascii="Times" w:hAnsi="Times"/>
          <w:sz w:val="20"/>
          <w:szCs w:val="20"/>
        </w:rPr>
        <w:t xml:space="preserve"> an attack; </w:t>
      </w:r>
      <w:r w:rsidRPr="005118DF">
        <w:rPr>
          <w:rFonts w:ascii="Times" w:hAnsi="Times"/>
          <w:b/>
          <w:bCs/>
          <w:sz w:val="20"/>
          <w:szCs w:val="20"/>
        </w:rPr>
        <w:t>Target</w:t>
      </w:r>
      <w:r w:rsidRPr="005118DF">
        <w:rPr>
          <w:rFonts w:ascii="Times" w:hAnsi="Times"/>
          <w:i/>
          <w:iCs/>
          <w:sz w:val="20"/>
          <w:szCs w:val="20"/>
        </w:rPr>
        <w:t xml:space="preserve"> </w:t>
      </w:r>
      <w:r w:rsidRPr="005118DF">
        <w:rPr>
          <w:rFonts w:ascii="Times" w:hAnsi="Times"/>
          <w:sz w:val="20"/>
          <w:szCs w:val="20"/>
        </w:rPr>
        <w:t xml:space="preserve">is typically used to refer to the human beings harmed (or intended to be harmed) in an attack. In the context of manipulation of biological components, target may be used to refer to the intended outcomes of those manipulations." </w:t>
      </w:r>
      <w:r w:rsidRPr="005118DF">
        <w:rPr>
          <w:rFonts w:ascii="Times" w:hAnsi="Times"/>
          <w:i/>
          <w:iCs/>
          <w:sz w:val="20"/>
          <w:szCs w:val="20"/>
        </w:rPr>
        <w:t>Biodefense in the Age of Synthetic Biology</w:t>
      </w:r>
      <w:r w:rsidRPr="005118DF">
        <w:rPr>
          <w:rFonts w:ascii="Times" w:hAnsi="Times"/>
          <w:sz w:val="20"/>
          <w:szCs w:val="20"/>
        </w:rPr>
        <w:t xml:space="preserve">, National Academy of Sciences (2018). </w:t>
      </w:r>
    </w:p>
    <w:p w14:paraId="371E3BD7" w14:textId="77777777" w:rsidR="00942D0F" w:rsidRPr="005118DF" w:rsidRDefault="00942D0F" w:rsidP="007B5819">
      <w:pPr>
        <w:pStyle w:val="NormalWeb"/>
        <w:spacing w:before="0" w:beforeAutospacing="0" w:after="0" w:afterAutospacing="0"/>
        <w:jc w:val="both"/>
        <w:rPr>
          <w:rFonts w:ascii="Times" w:hAnsi="Times"/>
          <w:sz w:val="20"/>
          <w:szCs w:val="20"/>
        </w:rPr>
      </w:pPr>
    </w:p>
  </w:endnote>
  <w:endnote w:id="4">
    <w:p w14:paraId="1DEA7256" w14:textId="5801CC68" w:rsidR="00631D76" w:rsidRPr="005118DF" w:rsidRDefault="00631D76" w:rsidP="007B5819">
      <w:pPr>
        <w:pStyle w:val="EndnoteText"/>
        <w:jc w:val="both"/>
      </w:pPr>
      <w:r w:rsidRPr="005118DF">
        <w:rPr>
          <w:rStyle w:val="EndnoteReference"/>
        </w:rPr>
        <w:endnoteRef/>
      </w:r>
      <w:r w:rsidR="001F167C" w:rsidRPr="005118DF">
        <w:t xml:space="preserve"> </w:t>
      </w:r>
      <w:r w:rsidRPr="005118DF">
        <w:t xml:space="preserve">1969-present, relevant Congressional acts regarding </w:t>
      </w:r>
      <w:r w:rsidRPr="005118DF">
        <w:rPr>
          <w:b/>
          <w:bCs/>
        </w:rPr>
        <w:t>Chemical and Biological Warfare Program</w:t>
      </w:r>
      <w:r w:rsidRPr="005118DF">
        <w:t xml:space="preserve">, reporting to Congress, </w:t>
      </w:r>
      <w:r w:rsidR="00EE4FC9" w:rsidRPr="005118DF">
        <w:t xml:space="preserve">suspension of informed consent duties and rights, partial list. </w:t>
      </w:r>
      <w:r w:rsidRPr="005118DF">
        <w:t xml:space="preserve">Armed Forces Appropriations Act of 1969 (PL 91-121). Section 409 authorized DOD to use human subjects for chemical and biological weapons testing, established reporting requirements (DOD reports to Congress) and </w:t>
      </w:r>
      <w:r w:rsidRPr="005118DF">
        <w:rPr>
          <w:b/>
          <w:bCs/>
        </w:rPr>
        <w:t>authorized President to suspend informed consent and all other provisions during any declared war or national emergency</w:t>
      </w:r>
      <w:r w:rsidRPr="005118DF">
        <w:t>; National Cancer Act of 1971 (PL 92-216); National Research Service Award Act of 1974 (PL 93-348); Department of Defense Appropriations Authorization Act of 1978</w:t>
      </w:r>
      <w:r w:rsidR="001F167C" w:rsidRPr="005118DF">
        <w:t xml:space="preserve"> (</w:t>
      </w:r>
      <w:r w:rsidRPr="005118DF">
        <w:t>PL 95-79</w:t>
      </w:r>
      <w:r w:rsidR="001F167C" w:rsidRPr="005118DF">
        <w:t>)</w:t>
      </w:r>
      <w:r w:rsidRPr="005118DF">
        <w:t xml:space="preserve">; Congressional Reports Elimination Act of 1982 (PL 97-375); </w:t>
      </w:r>
      <w:r w:rsidR="005118DF" w:rsidRPr="005118DF">
        <w:t xml:space="preserve">NDAA for FY1991 (PL 101-510); </w:t>
      </w:r>
      <w:r w:rsidRPr="005118DF">
        <w:t xml:space="preserve">NDAA for FY1994, (PL 103-160); NDAA for FY96 (PL 104-106); Antiterrorism and Effective Death Penalty Act; Illegal Immigration Reform and Immigrant Responsibility Act; Prison Litigation Reform Act of 1996 (PL 104-132); NDAA for FY98 (PL 105-85); NDAA for FY1999 (PL 105-261); </w:t>
      </w:r>
      <w:r w:rsidR="005118DF" w:rsidRPr="005118DF">
        <w:t xml:space="preserve">NDAA for FY 2005 (PL 108-375); </w:t>
      </w:r>
      <w:r w:rsidRPr="005118DF">
        <w:t>NDAA for FY2017 (PL 114-328).</w:t>
      </w:r>
    </w:p>
    <w:p w14:paraId="46310ECE" w14:textId="77777777" w:rsidR="00631D76" w:rsidRPr="005118DF" w:rsidRDefault="00631D76" w:rsidP="007B5819">
      <w:pPr>
        <w:pStyle w:val="EndnoteText"/>
        <w:jc w:val="both"/>
      </w:pPr>
    </w:p>
  </w:endnote>
  <w:endnote w:id="5">
    <w:p w14:paraId="6311CC33" w14:textId="1D1B1DAA" w:rsidR="00866361" w:rsidRPr="005118DF" w:rsidRDefault="00866361" w:rsidP="00866361">
      <w:pPr>
        <w:pStyle w:val="breadcrumb-item"/>
        <w:spacing w:before="0" w:beforeAutospacing="0" w:after="0" w:afterAutospacing="0"/>
        <w:jc w:val="both"/>
        <w:rPr>
          <w:rFonts w:ascii="Times" w:hAnsi="Times"/>
          <w:sz w:val="20"/>
          <w:szCs w:val="20"/>
        </w:rPr>
      </w:pPr>
      <w:r w:rsidRPr="005118DF">
        <w:rPr>
          <w:rStyle w:val="EndnoteReference"/>
          <w:sz w:val="20"/>
          <w:szCs w:val="20"/>
        </w:rPr>
        <w:endnoteRef/>
      </w:r>
      <w:r w:rsidRPr="005118DF">
        <w:rPr>
          <w:sz w:val="20"/>
          <w:szCs w:val="20"/>
        </w:rPr>
        <w:t xml:space="preserve"> </w:t>
      </w:r>
      <w:r w:rsidRPr="005118DF">
        <w:rPr>
          <w:rFonts w:ascii="Times" w:hAnsi="Times"/>
          <w:sz w:val="20"/>
          <w:szCs w:val="20"/>
        </w:rPr>
        <w:t xml:space="preserve">50 USC Chapter 32 - </w:t>
      </w:r>
      <w:r w:rsidRPr="005118DF">
        <w:rPr>
          <w:rFonts w:ascii="Times" w:hAnsi="Times"/>
          <w:b/>
          <w:bCs/>
          <w:sz w:val="20"/>
          <w:szCs w:val="20"/>
        </w:rPr>
        <w:t>Chemical and Biological Warfare</w:t>
      </w:r>
      <w:r w:rsidRPr="005118DF">
        <w:rPr>
          <w:rFonts w:ascii="Times" w:hAnsi="Times"/>
          <w:sz w:val="20"/>
          <w:szCs w:val="20"/>
        </w:rPr>
        <w:t>. §1511. Repealed; §1512. Transportation, open air testing, and disposal; Presidential determination; report to Congress; notice to Congress and State Governors; §</w:t>
      </w:r>
      <w:r w:rsidRPr="005118DF">
        <w:rPr>
          <w:sz w:val="20"/>
          <w:szCs w:val="20"/>
        </w:rPr>
        <w:t> </w:t>
      </w:r>
      <w:r w:rsidRPr="005118DF">
        <w:rPr>
          <w:rFonts w:ascii="Times" w:hAnsi="Times"/>
          <w:sz w:val="20"/>
          <w:szCs w:val="20"/>
        </w:rPr>
        <w:t xml:space="preserve">1512a. Transportation of chemical munitions; §1513. Deployment, storage, and disposal; notification to host country and Congress; international law violations; reports to Congress and international organizations; §1514. “United States” defined; </w:t>
      </w:r>
      <w:r w:rsidRPr="005118DF">
        <w:rPr>
          <w:rFonts w:ascii="Times" w:hAnsi="Times"/>
          <w:b/>
          <w:bCs/>
          <w:sz w:val="20"/>
          <w:szCs w:val="20"/>
        </w:rPr>
        <w:t>§1515. Suspension; Presidential authorization</w:t>
      </w:r>
      <w:r w:rsidRPr="005118DF">
        <w:rPr>
          <w:rFonts w:ascii="Times" w:hAnsi="Times"/>
          <w:sz w:val="20"/>
          <w:szCs w:val="20"/>
        </w:rPr>
        <w:t>; §1516. Delivery systems; §1517. Immediate disposal when health or safety are endangered; §</w:t>
      </w:r>
      <w:r w:rsidRPr="005118DF">
        <w:rPr>
          <w:sz w:val="20"/>
          <w:szCs w:val="20"/>
        </w:rPr>
        <w:t> </w:t>
      </w:r>
      <w:r w:rsidRPr="005118DF">
        <w:rPr>
          <w:rFonts w:ascii="Times" w:hAnsi="Times"/>
          <w:sz w:val="20"/>
          <w:szCs w:val="20"/>
        </w:rPr>
        <w:t>1518. Disposal; detoxification; report to Congress; emergencies; §1519. Lethal binary chemical munitions; §1519a. Limitation on procurement of binary chemical weapons; §1520. Repealed. Pub. L. 105–85, div. A, title X, §</w:t>
      </w:r>
      <w:r w:rsidRPr="005118DF">
        <w:rPr>
          <w:sz w:val="20"/>
          <w:szCs w:val="20"/>
        </w:rPr>
        <w:t> </w:t>
      </w:r>
      <w:r w:rsidRPr="005118DF">
        <w:rPr>
          <w:rFonts w:ascii="Times" w:hAnsi="Times"/>
          <w:sz w:val="20"/>
          <w:szCs w:val="20"/>
        </w:rPr>
        <w:t>1078(g), Nov. 18, 1997, 111 Stat. 1916, and Pub. L. 105–277, div. I, title VI, §</w:t>
      </w:r>
      <w:r w:rsidRPr="005118DF">
        <w:rPr>
          <w:sz w:val="20"/>
          <w:szCs w:val="20"/>
        </w:rPr>
        <w:t> </w:t>
      </w:r>
      <w:r w:rsidRPr="005118DF">
        <w:rPr>
          <w:rFonts w:ascii="Times" w:hAnsi="Times"/>
          <w:sz w:val="20"/>
          <w:szCs w:val="20"/>
        </w:rPr>
        <w:t xml:space="preserve">601, Oct. 21, 1998, 112 Stat. 2681–886; §1520a. </w:t>
      </w:r>
      <w:r w:rsidRPr="005118DF">
        <w:rPr>
          <w:rFonts w:ascii="Times" w:hAnsi="Times"/>
          <w:b/>
          <w:bCs/>
          <w:sz w:val="20"/>
          <w:szCs w:val="20"/>
        </w:rPr>
        <w:t>Restrictions on use of human subjects for testing of chemical or biological agents</w:t>
      </w:r>
      <w:r w:rsidRPr="005118DF">
        <w:rPr>
          <w:rFonts w:ascii="Times" w:hAnsi="Times"/>
          <w:sz w:val="20"/>
          <w:szCs w:val="20"/>
        </w:rPr>
        <w:t>; §</w:t>
      </w:r>
      <w:r w:rsidRPr="005118DF">
        <w:rPr>
          <w:sz w:val="20"/>
          <w:szCs w:val="20"/>
        </w:rPr>
        <w:t> </w:t>
      </w:r>
      <w:r w:rsidRPr="005118DF">
        <w:rPr>
          <w:rFonts w:ascii="Times" w:hAnsi="Times"/>
          <w:sz w:val="20"/>
          <w:szCs w:val="20"/>
        </w:rPr>
        <w:t>1521. Destruction of existing stockpile of lethal chemical agents and munitions; §</w:t>
      </w:r>
      <w:r w:rsidRPr="005118DF">
        <w:rPr>
          <w:sz w:val="20"/>
          <w:szCs w:val="20"/>
        </w:rPr>
        <w:t> </w:t>
      </w:r>
      <w:r w:rsidRPr="005118DF">
        <w:rPr>
          <w:rFonts w:ascii="Times" w:hAnsi="Times"/>
          <w:sz w:val="20"/>
          <w:szCs w:val="20"/>
        </w:rPr>
        <w:t xml:space="preserve">1521a. Destruction of existing stockpile of lethal chemical agents and munitions; §1522. Conduct of chemical and biological defense program; §1523. Annual report on chemical and biological warfare defense; §1524. </w:t>
      </w:r>
      <w:r w:rsidRPr="005118DF">
        <w:rPr>
          <w:rFonts w:ascii="Times" w:hAnsi="Times"/>
          <w:b/>
          <w:bCs/>
          <w:sz w:val="20"/>
          <w:szCs w:val="20"/>
        </w:rPr>
        <w:t>Agreements to provide support to vaccination programs of Department of Health and Human Services</w:t>
      </w:r>
      <w:r w:rsidRPr="005118DF">
        <w:rPr>
          <w:rFonts w:ascii="Times" w:hAnsi="Times"/>
          <w:sz w:val="20"/>
          <w:szCs w:val="20"/>
        </w:rPr>
        <w:t>; §1525. Assistance for facilities subject to inspection under Chemical Weapons Convention; §1526. Effective use of resources for nonproliferation programs; §1527. Improved biosafety for handling of select agents and toxins; §1528. Congressional notification of biological select agent and toxin theft, loss, or release involving the Department of Defense.</w:t>
      </w:r>
    </w:p>
    <w:p w14:paraId="3CD3B8CA" w14:textId="77777777" w:rsidR="00866361" w:rsidRPr="005118DF" w:rsidRDefault="00866361" w:rsidP="00866361">
      <w:pPr>
        <w:pStyle w:val="breadcrumb-item"/>
        <w:spacing w:before="0" w:beforeAutospacing="0" w:after="0" w:afterAutospacing="0"/>
        <w:jc w:val="both"/>
        <w:rPr>
          <w:rFonts w:ascii="Times" w:hAnsi="Times"/>
          <w:sz w:val="20"/>
          <w:szCs w:val="20"/>
        </w:rPr>
      </w:pPr>
    </w:p>
  </w:endnote>
  <w:endnote w:id="6">
    <w:p w14:paraId="2164E551" w14:textId="7325EC98" w:rsidR="00EE4FC9" w:rsidRPr="005118DF" w:rsidRDefault="00EE4FC9" w:rsidP="007B5819">
      <w:pPr>
        <w:pStyle w:val="EndnoteText"/>
        <w:jc w:val="both"/>
      </w:pPr>
      <w:r w:rsidRPr="005118DF">
        <w:rPr>
          <w:rStyle w:val="EndnoteReference"/>
        </w:rPr>
        <w:endnoteRef/>
      </w:r>
      <w:r w:rsidRPr="005118DF">
        <w:t xml:space="preserve"> 1973-present, relevant Congressional acts regarding establishment and expansion of </w:t>
      </w:r>
      <w:r w:rsidRPr="005118DF">
        <w:rPr>
          <w:b/>
          <w:bCs/>
        </w:rPr>
        <w:t>executive branch emergency powers</w:t>
      </w:r>
      <w:r w:rsidRPr="005118DF">
        <w:t xml:space="preserve">, partial list. War Powers Resolution of 1973 (93-148); National Emergencies Act of 1976 (PL 94-412); Robert T. Stafford Disaster Relief and Emergency Act of 1988 (PL 100-707); Authorization for Use of Military Force of 2001 (PL 107–40); Uniting and Strengthening America by Providing Appropriate Tools Required to Intercept and Obstruct Terrorism (USA PATRIOT) Act of 2001 (PL 107-56); Homeland Security Act of 2002 (PL 107-296); NDAA/John Warner Defense Authorization Act for FY2007 (PL 109-364), </w:t>
      </w:r>
      <w:r w:rsidRPr="005118DF">
        <w:rPr>
          <w:b/>
          <w:bCs/>
        </w:rPr>
        <w:t>authorized deployment of US military on American soil against American citizens during “natural disaster, epidemic, or other serious public health emergency, terrorist attack or incident, or other condition in any State or possession of the United States.”</w:t>
      </w:r>
      <w:r w:rsidRPr="005118DF">
        <w:t xml:space="preserve"> [repealed, NDAA for FY2008; passed again in NDAA for FY2012].; NDAA for FY2008 (PL 110-181); NDAA for FY2012 (PL 112-81); Disaster Relief Appropriations Act of 2013 (PL 113-2); NDAA for FY2017 (PL 114-328); Department of Homeland Security, </w:t>
      </w:r>
      <w:r w:rsidRPr="005118DF">
        <w:rPr>
          <w:i/>
          <w:iCs/>
        </w:rPr>
        <w:t xml:space="preserve">Biological Incident Annex to the Response and Recovery Federal Interagency Operational Plans </w:t>
      </w:r>
      <w:r w:rsidR="001F167C" w:rsidRPr="005118DF">
        <w:t>(</w:t>
      </w:r>
      <w:r w:rsidRPr="005118DF">
        <w:t>2017</w:t>
      </w:r>
      <w:r w:rsidR="001F167C" w:rsidRPr="005118DF">
        <w:t>)</w:t>
      </w:r>
      <w:r w:rsidRPr="005118DF">
        <w:t>. 10 USC 382 “permits Department of Defense to provide support to the Department of Justice under certain circumstances in emergency situations involving Weapons of Mass Destruction, including biological weapons and materials."</w:t>
      </w:r>
    </w:p>
    <w:p w14:paraId="36BE164A" w14:textId="77777777" w:rsidR="00EE4FC9" w:rsidRPr="005118DF" w:rsidRDefault="00EE4FC9" w:rsidP="007B5819">
      <w:pPr>
        <w:pStyle w:val="EndnoteText"/>
        <w:jc w:val="both"/>
      </w:pPr>
    </w:p>
  </w:endnote>
  <w:endnote w:id="7">
    <w:p w14:paraId="3569E1C3" w14:textId="77777777" w:rsidR="0059187D" w:rsidRPr="005118DF" w:rsidRDefault="0059187D" w:rsidP="0059187D">
      <w:pPr>
        <w:pStyle w:val="EndnoteText"/>
        <w:jc w:val="both"/>
        <w:rPr>
          <w:rFonts w:ascii="Times" w:hAnsi="Times"/>
        </w:rPr>
      </w:pPr>
      <w:r w:rsidRPr="005118DF">
        <w:rPr>
          <w:rStyle w:val="EndnoteReference"/>
        </w:rPr>
        <w:endnoteRef/>
      </w:r>
      <w:r w:rsidRPr="005118DF">
        <w:rPr>
          <w:rFonts w:ascii="Times" w:hAnsi="Times"/>
        </w:rPr>
        <w:t xml:space="preserve"> 1983-present, relevant Congressional acts regarding establishment and expansion of </w:t>
      </w:r>
      <w:r w:rsidRPr="005118DF">
        <w:rPr>
          <w:rFonts w:ascii="Times" w:hAnsi="Times"/>
          <w:b/>
          <w:bCs/>
        </w:rPr>
        <w:t>Public Health Emergencies Program</w:t>
      </w:r>
      <w:r w:rsidRPr="005118DF">
        <w:rPr>
          <w:rFonts w:ascii="Times" w:hAnsi="Times"/>
        </w:rPr>
        <w:t xml:space="preserve">, partial list. </w:t>
      </w:r>
      <w:r w:rsidRPr="005118DF">
        <w:rPr>
          <w:rFonts w:ascii="Times" w:hAnsi="Times"/>
          <w:b/>
          <w:bCs/>
        </w:rPr>
        <w:t>Public Health Service Act Amendment</w:t>
      </w:r>
      <w:r w:rsidRPr="005118DF">
        <w:rPr>
          <w:rFonts w:ascii="Times" w:hAnsi="Times"/>
        </w:rPr>
        <w:t xml:space="preserve"> of 1983 (PL 98-49); Health Omnibus Programs Extension Act of 1988 (PL 100-607); National Institutes of Health Revitalization Act of 1993 (PL 103-43); Food and Drug Administration Modernization Act of 1997 (PL 105-115); Omnibus Consolidated and Emergency Supplemental Appropriations of 1998, for FY1999 (PL 105-277); </w:t>
      </w:r>
      <w:r w:rsidRPr="005118DF">
        <w:rPr>
          <w:rFonts w:ascii="Times" w:hAnsi="Times"/>
          <w:b/>
          <w:bCs/>
        </w:rPr>
        <w:t>Public Health Improvement Act</w:t>
      </w:r>
      <w:r w:rsidRPr="005118DF">
        <w:rPr>
          <w:rFonts w:ascii="Times" w:hAnsi="Times"/>
        </w:rPr>
        <w:t xml:space="preserve"> of 2000 (PL 106-505); </w:t>
      </w:r>
      <w:r w:rsidRPr="005118DF">
        <w:rPr>
          <w:rFonts w:ascii="Times" w:hAnsi="Times"/>
          <w:b/>
          <w:bCs/>
        </w:rPr>
        <w:t xml:space="preserve">Public Health Security and Bioterrorism Preparedness and Response Act </w:t>
      </w:r>
      <w:r w:rsidRPr="005118DF">
        <w:rPr>
          <w:rFonts w:ascii="Times" w:hAnsi="Times"/>
        </w:rPr>
        <w:t xml:space="preserve">of 2002 (PL 107-188); </w:t>
      </w:r>
      <w:r w:rsidRPr="005118DF">
        <w:rPr>
          <w:rFonts w:ascii="Times" w:hAnsi="Times"/>
          <w:b/>
          <w:bCs/>
        </w:rPr>
        <w:t>NDAA for FY2004</w:t>
      </w:r>
      <w:r w:rsidRPr="005118DF">
        <w:rPr>
          <w:rFonts w:ascii="Times" w:hAnsi="Times"/>
        </w:rPr>
        <w:t xml:space="preserve"> (PL 108-136) [Added 21 USC 360bbb-3, “</w:t>
      </w:r>
      <w:r w:rsidRPr="005118DF">
        <w:rPr>
          <w:rFonts w:ascii="Times" w:hAnsi="Times"/>
          <w:i/>
          <w:iCs/>
        </w:rPr>
        <w:t>Authorization for Medical Products for Use in Emergencies</w:t>
      </w:r>
      <w:r w:rsidRPr="005118DF">
        <w:rPr>
          <w:rFonts w:ascii="Times" w:hAnsi="Times"/>
        </w:rPr>
        <w:t>” under Federal Food Drug and Cosmetics Act, 21 USC 360bbb added in 1997, “</w:t>
      </w:r>
      <w:r w:rsidRPr="005118DF">
        <w:rPr>
          <w:rFonts w:ascii="Times" w:hAnsi="Times"/>
          <w:i/>
          <w:iCs/>
        </w:rPr>
        <w:t>Expanded Access to Unapproved Diagnostics and Therapies</w:t>
      </w:r>
      <w:r w:rsidRPr="005118DF">
        <w:rPr>
          <w:rFonts w:ascii="Times" w:hAnsi="Times"/>
        </w:rPr>
        <w:t xml:space="preserve">.” Added 10 USC 1107a, </w:t>
      </w:r>
      <w:r w:rsidRPr="005118DF">
        <w:rPr>
          <w:rFonts w:ascii="Times" w:hAnsi="Times"/>
          <w:i/>
          <w:iCs/>
        </w:rPr>
        <w:t>Emergency Use Products</w:t>
      </w:r>
      <w:r w:rsidRPr="005118DF">
        <w:rPr>
          <w:rFonts w:ascii="Times" w:hAnsi="Times"/>
        </w:rPr>
        <w:t xml:space="preserve">, authorizing US President to waive informed consent rights of military personnel during declared emergencies and redefining the meaning of the right to be “informed of an option to accept or refuse administration of a product.”]; </w:t>
      </w:r>
      <w:r w:rsidRPr="005118DF">
        <w:rPr>
          <w:rFonts w:ascii="Times" w:hAnsi="Times"/>
          <w:b/>
          <w:bCs/>
        </w:rPr>
        <w:t>Project Bioshield Act</w:t>
      </w:r>
      <w:r w:rsidRPr="005118DF">
        <w:rPr>
          <w:rFonts w:ascii="Times" w:hAnsi="Times"/>
        </w:rPr>
        <w:t xml:space="preserve"> of 2004 (PL 108-276); DOD Emergency Supplemental Appropriations to Address Hurricanes in the Gulf of Mexico, and Pandemic Influenza Act of 2005, including </w:t>
      </w:r>
      <w:r w:rsidRPr="005118DF">
        <w:rPr>
          <w:rFonts w:ascii="Times" w:hAnsi="Times"/>
          <w:b/>
          <w:bCs/>
        </w:rPr>
        <w:t>Public Readiness and Emergency Preparedness (PREP) Act</w:t>
      </w:r>
      <w:r w:rsidRPr="005118DF">
        <w:rPr>
          <w:rFonts w:ascii="Times" w:hAnsi="Times"/>
        </w:rPr>
        <w:t xml:space="preserve"> (PL 109-148); </w:t>
      </w:r>
      <w:r w:rsidRPr="005118DF">
        <w:rPr>
          <w:rFonts w:ascii="Times" w:hAnsi="Times"/>
          <w:b/>
          <w:bCs/>
        </w:rPr>
        <w:t>Pandemic and All-Hazards Preparedness Act</w:t>
      </w:r>
      <w:r w:rsidRPr="005118DF">
        <w:rPr>
          <w:rFonts w:ascii="Times" w:hAnsi="Times"/>
        </w:rPr>
        <w:t xml:space="preserve"> of 2006 (PL 109-417); National Institute of Health Reform Act of 2007 (PL 109-482); Food and Drug Administration Amendments Act of 2007 (PL 110-85); Patient Protection and Affordable Care Act of 2010 (ObamaCare) including Biologics Price Competition and Innovation Act of 2009 (PL 111-148); Food and Drug Administration Safety and Innovation Act of 2012 (PL 112-144); </w:t>
      </w:r>
      <w:r w:rsidRPr="005118DF">
        <w:rPr>
          <w:rFonts w:ascii="Times" w:hAnsi="Times"/>
          <w:b/>
          <w:bCs/>
        </w:rPr>
        <w:t>Pandemic and All-Hazards Preparedness Reauthorization Act</w:t>
      </w:r>
      <w:r w:rsidRPr="005118DF">
        <w:rPr>
          <w:rFonts w:ascii="Times" w:hAnsi="Times"/>
        </w:rPr>
        <w:t xml:space="preserve"> of 2013 (PL 113-5); Medicare Access and CHIP Reauthorization (MACRA) Act of 2014 (PL 114-10); </w:t>
      </w:r>
      <w:r w:rsidRPr="005118DF">
        <w:rPr>
          <w:rFonts w:ascii="Times" w:hAnsi="Times"/>
          <w:b/>
          <w:bCs/>
        </w:rPr>
        <w:t>21st Century Cures Act</w:t>
      </w:r>
      <w:r w:rsidRPr="005118DF">
        <w:rPr>
          <w:rFonts w:ascii="Times" w:hAnsi="Times"/>
        </w:rPr>
        <w:t xml:space="preserve"> of 2016 (PL 114-255); FDA Reauthorization Act of 2017 (PL 115-52); NDAA for FY 2018 (PL 115-91); </w:t>
      </w:r>
      <w:r w:rsidRPr="005118DF">
        <w:rPr>
          <w:rFonts w:ascii="Times" w:hAnsi="Times"/>
          <w:b/>
          <w:bCs/>
        </w:rPr>
        <w:t>Act to amend FDCA EUA statute</w:t>
      </w:r>
      <w:r w:rsidRPr="005118DF">
        <w:rPr>
          <w:rFonts w:ascii="Times" w:hAnsi="Times"/>
        </w:rPr>
        <w:t xml:space="preserve">, 21 USC 360bbb-3, of 2017 (PL 115-92); </w:t>
      </w:r>
      <w:r w:rsidRPr="005118DF">
        <w:rPr>
          <w:rFonts w:ascii="Times" w:hAnsi="Times"/>
          <w:b/>
          <w:bCs/>
        </w:rPr>
        <w:t>Pandemic and All-Hazards Preparedness and Advancing Innovation Act</w:t>
      </w:r>
      <w:r w:rsidRPr="005118DF">
        <w:rPr>
          <w:rFonts w:ascii="Times" w:hAnsi="Times"/>
        </w:rPr>
        <w:t xml:space="preserve"> of 2019 (PL 116-22); Coronavirus Preparedness and Response Supplemental Appropriations Act of 2020 (PL 116-123); Families First Coronavirus Response Act of 2020 (PL 116-127); Coronavirus Aid, Relief, and Economic Security (CARES) Act of 2020 (PL 116-136); Paycheck Protection Program and Health Care Enhancement Act of 2020 (PL 116-139); Consolidated Appropriations Act of 2020 (PL 116-260); American Rescue Plan/Consolidated Appropriations Act of 2021 (PL 117-2); NDAA for FY2022 (PL 117-81); Consolidated Appropriations Act of 2022 (PL 117-103). </w:t>
      </w:r>
    </w:p>
    <w:p w14:paraId="3A06B741" w14:textId="77777777" w:rsidR="0059187D" w:rsidRPr="005118DF" w:rsidRDefault="0059187D" w:rsidP="0059187D">
      <w:pPr>
        <w:pStyle w:val="EndnoteText"/>
        <w:jc w:val="both"/>
      </w:pPr>
    </w:p>
  </w:endnote>
  <w:endnote w:id="8">
    <w:p w14:paraId="57A83A22" w14:textId="32070CE4" w:rsidR="00866361" w:rsidRPr="005118DF" w:rsidRDefault="00866361" w:rsidP="00866361">
      <w:pPr>
        <w:jc w:val="both"/>
        <w:rPr>
          <w:rFonts w:ascii="Times" w:hAnsi="Times"/>
          <w:sz w:val="20"/>
          <w:szCs w:val="20"/>
        </w:rPr>
      </w:pPr>
      <w:r w:rsidRPr="005118DF">
        <w:rPr>
          <w:rStyle w:val="EndnoteReference"/>
          <w:rFonts w:ascii="Times" w:hAnsi="Times"/>
          <w:sz w:val="20"/>
          <w:szCs w:val="20"/>
        </w:rPr>
        <w:endnoteRef/>
      </w:r>
      <w:r w:rsidRPr="005118DF">
        <w:rPr>
          <w:rFonts w:ascii="Times" w:hAnsi="Times"/>
          <w:sz w:val="20"/>
          <w:szCs w:val="20"/>
        </w:rPr>
        <w:t xml:space="preserve"> 42 USC §</w:t>
      </w:r>
      <w:r w:rsidRPr="005118DF">
        <w:rPr>
          <w:sz w:val="20"/>
          <w:szCs w:val="20"/>
        </w:rPr>
        <w:t> </w:t>
      </w:r>
      <w:r w:rsidRPr="005118DF">
        <w:rPr>
          <w:rFonts w:ascii="Times" w:hAnsi="Times"/>
          <w:sz w:val="20"/>
          <w:szCs w:val="20"/>
        </w:rPr>
        <w:t xml:space="preserve">247d. </w:t>
      </w:r>
      <w:r w:rsidRPr="005118DF">
        <w:rPr>
          <w:rFonts w:ascii="Times" w:hAnsi="Times"/>
          <w:b/>
          <w:bCs/>
          <w:sz w:val="20"/>
          <w:szCs w:val="20"/>
        </w:rPr>
        <w:t>Public health emergencies</w:t>
      </w:r>
      <w:r w:rsidRPr="005118DF">
        <w:rPr>
          <w:rFonts w:ascii="Times" w:hAnsi="Times"/>
          <w:sz w:val="20"/>
          <w:szCs w:val="20"/>
        </w:rPr>
        <w:t xml:space="preserve">; §247d–1. Vaccine tracking and distribution; §247d–3a. Improving State and local public health security; §247d–3b. Partnerships for State and regional hospital preparedness to improve surge capacity; §247d–3c. Guidelines for regional health care emergency preparedness and response systems; §247d–4. Facilities and capacities of the Centers for Disease Control and Prevention; §247d–4a. Infectious Diseases Rapid Response Reserve Fund; §247d–4b. Children’s Preparedness Unit; §247d–5. Combating antimicrobial resistance; §247d–6. </w:t>
      </w:r>
      <w:r w:rsidRPr="005118DF">
        <w:rPr>
          <w:rFonts w:ascii="Times" w:hAnsi="Times"/>
          <w:b/>
          <w:bCs/>
          <w:sz w:val="20"/>
          <w:szCs w:val="20"/>
        </w:rPr>
        <w:t>Public health countermeasures to a bioterrorist attack</w:t>
      </w:r>
      <w:r w:rsidRPr="005118DF">
        <w:rPr>
          <w:rFonts w:ascii="Times" w:hAnsi="Times"/>
          <w:sz w:val="20"/>
          <w:szCs w:val="20"/>
        </w:rPr>
        <w:t>; §247d–6a. Authority for use of certain procedures regarding qualified countermeasure research and development activities; §</w:t>
      </w:r>
      <w:r w:rsidRPr="005118DF">
        <w:rPr>
          <w:sz w:val="20"/>
          <w:szCs w:val="20"/>
        </w:rPr>
        <w:t> </w:t>
      </w:r>
      <w:r w:rsidRPr="005118DF">
        <w:rPr>
          <w:rFonts w:ascii="Times" w:hAnsi="Times"/>
          <w:sz w:val="20"/>
          <w:szCs w:val="20"/>
        </w:rPr>
        <w:t xml:space="preserve">247d–6b. </w:t>
      </w:r>
      <w:r w:rsidRPr="005118DF">
        <w:rPr>
          <w:rFonts w:ascii="Times" w:hAnsi="Times"/>
          <w:b/>
          <w:bCs/>
          <w:sz w:val="20"/>
          <w:szCs w:val="20"/>
        </w:rPr>
        <w:t>Strategic National Stockpile and security countermeasure procurements</w:t>
      </w:r>
      <w:r w:rsidRPr="005118DF">
        <w:rPr>
          <w:rFonts w:ascii="Times" w:hAnsi="Times"/>
          <w:sz w:val="20"/>
          <w:szCs w:val="20"/>
        </w:rPr>
        <w:t xml:space="preserve">; §247d–6d. </w:t>
      </w:r>
      <w:r w:rsidRPr="005118DF">
        <w:rPr>
          <w:rFonts w:ascii="Times" w:hAnsi="Times"/>
          <w:b/>
          <w:bCs/>
          <w:sz w:val="20"/>
          <w:szCs w:val="20"/>
        </w:rPr>
        <w:t>Targeted liability protections for pandemic and epidemic products and security countermeasures</w:t>
      </w:r>
      <w:r w:rsidRPr="005118DF">
        <w:rPr>
          <w:rFonts w:ascii="Times" w:hAnsi="Times"/>
          <w:sz w:val="20"/>
          <w:szCs w:val="20"/>
        </w:rPr>
        <w:t xml:space="preserve">; §247d–6e. </w:t>
      </w:r>
      <w:r w:rsidRPr="005118DF">
        <w:rPr>
          <w:rFonts w:ascii="Times" w:hAnsi="Times"/>
          <w:b/>
          <w:bCs/>
          <w:sz w:val="20"/>
          <w:szCs w:val="20"/>
        </w:rPr>
        <w:t xml:space="preserve">Covered countermeasure process </w:t>
      </w:r>
      <w:r w:rsidRPr="005118DF">
        <w:rPr>
          <w:rFonts w:ascii="Times" w:hAnsi="Times"/>
          <w:sz w:val="20"/>
          <w:szCs w:val="20"/>
        </w:rPr>
        <w:t>[Countermeasures Injury Compensation Program]; §247d–7. Demonstration program to enhance bioterrorism training, coordination, and readiness; §247d–7a. Grants regarding training and education of certain health professionals; §247d–7b. Emergency system for advance registration of volunteer health professional; §247d–7c. Supplies and services in lieu of award funds; §247d–7d. Security for countermeasure development and production; §247d–7e. Biomedical Advanced Research and Development Authority; §247d–7f. Collaboration and coordination; §247d–7g. National Biodefense Science Board and working groups.</w:t>
      </w:r>
    </w:p>
  </w:endnote>
  <w:endnote w:id="9">
    <w:p w14:paraId="657F34BB" w14:textId="226C3647" w:rsidR="00362325" w:rsidRPr="005118DF" w:rsidRDefault="00362325" w:rsidP="00362325">
      <w:pPr>
        <w:pStyle w:val="NormalWeb"/>
        <w:jc w:val="both"/>
        <w:rPr>
          <w:rFonts w:ascii="Times" w:hAnsi="Times"/>
          <w:sz w:val="20"/>
          <w:szCs w:val="20"/>
        </w:rPr>
      </w:pPr>
      <w:r w:rsidRPr="005118DF">
        <w:rPr>
          <w:rStyle w:val="EndnoteReference"/>
          <w:rFonts w:ascii="Times" w:hAnsi="Times"/>
          <w:sz w:val="20"/>
          <w:szCs w:val="20"/>
        </w:rPr>
        <w:endnoteRef/>
      </w:r>
      <w:r w:rsidRPr="005118DF">
        <w:rPr>
          <w:rFonts w:ascii="Times" w:hAnsi="Times"/>
          <w:sz w:val="20"/>
          <w:szCs w:val="20"/>
        </w:rPr>
        <w:t xml:space="preserve"> </w:t>
      </w:r>
      <w:r w:rsidR="00C668FC" w:rsidRPr="005118DF">
        <w:rPr>
          <w:rFonts w:ascii="Times" w:hAnsi="Times"/>
          <w:sz w:val="20"/>
          <w:szCs w:val="20"/>
        </w:rPr>
        <w:t xml:space="preserve">2017: </w:t>
      </w:r>
      <w:r w:rsidRPr="005118DF">
        <w:rPr>
          <w:rFonts w:ascii="Times" w:hAnsi="Times"/>
          <w:sz w:val="20"/>
          <w:szCs w:val="20"/>
        </w:rPr>
        <w:t>"The Public Readiness and Emergency Preparedness Act</w:t>
      </w:r>
      <w:r w:rsidRPr="005118DF">
        <w:rPr>
          <w:rFonts w:ascii="Times" w:hAnsi="Times"/>
          <w:position w:val="10"/>
          <w:sz w:val="20"/>
          <w:szCs w:val="20"/>
        </w:rPr>
        <w:t xml:space="preserve"> </w:t>
      </w:r>
      <w:r w:rsidRPr="005118DF">
        <w:rPr>
          <w:rFonts w:ascii="Times" w:hAnsi="Times"/>
          <w:sz w:val="20"/>
          <w:szCs w:val="20"/>
        </w:rPr>
        <w:t xml:space="preserve">(PREP Act) of 2005 amended the PHSA to authorize the HHS Secretary to issue a declaration that provides immunity from liability (except for willful misconduct) to covered persons against legal claims arising from administration or use of </w:t>
      </w:r>
      <w:r w:rsidR="00C668FC" w:rsidRPr="005118DF">
        <w:rPr>
          <w:rFonts w:ascii="Times" w:hAnsi="Times"/>
          <w:sz w:val="20"/>
          <w:szCs w:val="20"/>
        </w:rPr>
        <w:t xml:space="preserve">[medical countermeasures] </w:t>
      </w:r>
      <w:r w:rsidRPr="005118DF">
        <w:rPr>
          <w:rFonts w:ascii="Times" w:hAnsi="Times"/>
          <w:sz w:val="20"/>
          <w:szCs w:val="20"/>
        </w:rPr>
        <w:t xml:space="preserve">recommended by the Secretary to address pandemic or epidemic diseases or threats, or CBRN threats to health that the Secretary determines constitute a present or future PHE. </w:t>
      </w:r>
      <w:r w:rsidRPr="005118DF">
        <w:rPr>
          <w:rFonts w:ascii="Times" w:hAnsi="Times"/>
          <w:b/>
          <w:bCs/>
          <w:sz w:val="20"/>
          <w:szCs w:val="20"/>
        </w:rPr>
        <w:t>Covered persons can include manufacturers; researchers, distributors, states, local governments, private sector partners, and others involved in countermeasure programs; qualified persons who prescribe, administer, or dispense countermeasures; officials, agents, employees of all of these groups, and the U.S. Government.</w:t>
      </w:r>
      <w:r w:rsidRPr="005118DF">
        <w:rPr>
          <w:rFonts w:ascii="Times" w:hAnsi="Times"/>
          <w:sz w:val="20"/>
          <w:szCs w:val="20"/>
        </w:rPr>
        <w:t xml:space="preserve">" US Department of Homeland Security, </w:t>
      </w:r>
      <w:r w:rsidRPr="005118DF">
        <w:rPr>
          <w:rFonts w:ascii="Times" w:hAnsi="Times"/>
          <w:i/>
          <w:iCs/>
          <w:sz w:val="20"/>
          <w:szCs w:val="20"/>
        </w:rPr>
        <w:t>Biological Incident Annex to the Response and Recovery Federal Interagency Operational Plans</w:t>
      </w:r>
      <w:r w:rsidR="00C668FC" w:rsidRPr="005118DF">
        <w:rPr>
          <w:rFonts w:ascii="Times" w:hAnsi="Times"/>
          <w:sz w:val="20"/>
          <w:szCs w:val="20"/>
        </w:rPr>
        <w:t xml:space="preserve"> (</w:t>
      </w:r>
      <w:r w:rsidRPr="005118DF">
        <w:rPr>
          <w:rFonts w:ascii="Times" w:hAnsi="Times"/>
          <w:sz w:val="20"/>
          <w:szCs w:val="20"/>
        </w:rPr>
        <w:t>2017</w:t>
      </w:r>
      <w:r w:rsidR="00C668FC" w:rsidRPr="005118DF">
        <w:rPr>
          <w:rFonts w:ascii="Times" w:hAnsi="Times"/>
          <w:sz w:val="20"/>
          <w:szCs w:val="20"/>
        </w:rPr>
        <w:t>)</w:t>
      </w:r>
      <w:r w:rsidRPr="005118DF">
        <w:rPr>
          <w:rFonts w:ascii="Times" w:hAnsi="Times"/>
          <w:sz w:val="20"/>
          <w:szCs w:val="20"/>
        </w:rPr>
        <w:t xml:space="preserve"> </w:t>
      </w:r>
    </w:p>
  </w:endnote>
  <w:endnote w:id="10">
    <w:p w14:paraId="6BCB17E5" w14:textId="79172E73" w:rsidR="00875149" w:rsidRPr="005118DF" w:rsidRDefault="00875149" w:rsidP="00C668FC">
      <w:pPr>
        <w:pStyle w:val="EndnoteText"/>
        <w:jc w:val="both"/>
      </w:pPr>
      <w:r w:rsidRPr="005118DF">
        <w:rPr>
          <w:rStyle w:val="EndnoteReference"/>
          <w:rFonts w:ascii="Times" w:hAnsi="Times"/>
        </w:rPr>
        <w:endnoteRef/>
      </w:r>
      <w:r w:rsidRPr="005118DF">
        <w:rPr>
          <w:rFonts w:ascii="Times" w:hAnsi="Times"/>
        </w:rPr>
        <w:t xml:space="preserve"> </w:t>
      </w:r>
      <w:r w:rsidR="00C668FC" w:rsidRPr="005118DF">
        <w:rPr>
          <w:rFonts w:ascii="Times" w:hAnsi="Times"/>
        </w:rPr>
        <w:t xml:space="preserve">2018: </w:t>
      </w:r>
      <w:r w:rsidRPr="005118DF">
        <w:rPr>
          <w:rFonts w:ascii="Times" w:hAnsi="Times"/>
          <w:i/>
          <w:iCs/>
        </w:rPr>
        <w:t>Informed Consent Action Network v. US Department of Health and Human Services</w:t>
      </w:r>
      <w:r w:rsidRPr="005118DF">
        <w:rPr>
          <w:rFonts w:ascii="Times" w:hAnsi="Times"/>
        </w:rPr>
        <w:t>, 18-CV-03215, USDC, Southern District of New York, Doc</w:t>
      </w:r>
      <w:r w:rsidRPr="005118DF">
        <w:t>. 18.</w:t>
      </w:r>
    </w:p>
    <w:p w14:paraId="69609B75" w14:textId="77777777" w:rsidR="00875149" w:rsidRPr="005118DF" w:rsidRDefault="00875149">
      <w:pPr>
        <w:pStyle w:val="EndnoteText"/>
      </w:pPr>
    </w:p>
  </w:endnote>
  <w:endnote w:id="11">
    <w:p w14:paraId="3A38CDAB" w14:textId="77777777" w:rsidR="00610A2A" w:rsidRPr="005118DF" w:rsidRDefault="00610A2A" w:rsidP="00610A2A">
      <w:pPr>
        <w:pStyle w:val="tocitem"/>
        <w:spacing w:before="0" w:beforeAutospacing="0" w:after="0" w:afterAutospacing="0"/>
        <w:jc w:val="both"/>
        <w:rPr>
          <w:sz w:val="20"/>
          <w:szCs w:val="20"/>
        </w:rPr>
      </w:pPr>
      <w:r w:rsidRPr="005118DF">
        <w:rPr>
          <w:rStyle w:val="EndnoteReference"/>
          <w:sz w:val="20"/>
          <w:szCs w:val="20"/>
        </w:rPr>
        <w:endnoteRef/>
      </w:r>
      <w:r w:rsidRPr="005118DF">
        <w:rPr>
          <w:sz w:val="20"/>
          <w:szCs w:val="20"/>
        </w:rPr>
        <w:t xml:space="preserve"> 42 USC § 300aa-1 et seq. </w:t>
      </w:r>
      <w:r w:rsidRPr="005118DF">
        <w:rPr>
          <w:b/>
          <w:bCs/>
          <w:sz w:val="20"/>
          <w:szCs w:val="20"/>
        </w:rPr>
        <w:t>National Vaccine Program</w:t>
      </w:r>
      <w:r w:rsidRPr="005118DF">
        <w:rPr>
          <w:sz w:val="20"/>
          <w:szCs w:val="20"/>
        </w:rPr>
        <w:t xml:space="preserve"> § 300aa–1. Establishment; § 300aa–2. Program responsibilities; § 300aa–3. Plan; § 300aa–4. Repealed; § 300aa–5. National Vaccine Advisory Committee; § 300aa–6. Authorization of appropriations.</w:t>
      </w:r>
    </w:p>
  </w:endnote>
  <w:endnote w:id="12">
    <w:p w14:paraId="3036DDC2" w14:textId="77777777" w:rsidR="00610A2A" w:rsidRPr="005118DF" w:rsidRDefault="00610A2A" w:rsidP="00610A2A">
      <w:pPr>
        <w:pStyle w:val="tocitem"/>
        <w:jc w:val="both"/>
        <w:rPr>
          <w:sz w:val="20"/>
          <w:szCs w:val="20"/>
          <w:highlight w:val="yellow"/>
        </w:rPr>
      </w:pPr>
      <w:r w:rsidRPr="005118DF">
        <w:rPr>
          <w:rStyle w:val="EndnoteReference"/>
          <w:sz w:val="20"/>
          <w:szCs w:val="20"/>
        </w:rPr>
        <w:endnoteRef/>
      </w:r>
      <w:r w:rsidRPr="005118DF">
        <w:rPr>
          <w:sz w:val="20"/>
          <w:szCs w:val="20"/>
        </w:rPr>
        <w:t xml:space="preserve"> 42 USC §300aa–10 et seq. </w:t>
      </w:r>
      <w:r w:rsidRPr="005118DF">
        <w:rPr>
          <w:b/>
          <w:bCs/>
          <w:sz w:val="20"/>
          <w:szCs w:val="20"/>
        </w:rPr>
        <w:t>National Vaccine Injury Compensation Program</w:t>
      </w:r>
      <w:r w:rsidRPr="005118DF">
        <w:rPr>
          <w:sz w:val="20"/>
          <w:szCs w:val="20"/>
        </w:rPr>
        <w:t xml:space="preserve"> §300aa–10. Establishment of program; §300aa–11. Petitions for compensation; §300aa–12. Court jurisdiction; §300aa–13. Determination of eligibility and compensation; §300aa–14. Vaccine Injury Table; §300aa–15. Compensation; §300aa–16. Limitations of actions; §300aa–17. Subrogation; §300aa–18. Repealed.; §300aa–19. Advisory Commission on Childhood Vaccines; §300aa–21. Authority to bring actions; §300aa–22. Standards of responsibility; §300aa–23. Trial; §300aa–25. Recording and reporting of information; §300aa–26. Vaccine information; §300aa–27. Mandate for safer childhood vaccines; §300aa–28. Manufacturer recordkeeping and reporting; §300aa–31. Citizen's actions; §300aa–32. Judicial review; §300aa–33. Definitions; §300aa–34. Termination of program </w:t>
      </w:r>
    </w:p>
  </w:endnote>
  <w:endnote w:id="13">
    <w:p w14:paraId="43E61DA3" w14:textId="5C8E611E" w:rsidR="000A06E5" w:rsidRPr="005118DF" w:rsidRDefault="000A06E5" w:rsidP="000A06E5">
      <w:pPr>
        <w:pStyle w:val="NormalWeb"/>
        <w:spacing w:before="0" w:beforeAutospacing="0" w:after="0" w:afterAutospacing="0"/>
        <w:jc w:val="both"/>
        <w:rPr>
          <w:rFonts w:ascii="Times" w:hAnsi="Times" w:cs="Arial"/>
          <w:color w:val="000000"/>
          <w:sz w:val="20"/>
          <w:szCs w:val="20"/>
        </w:rPr>
      </w:pPr>
      <w:r w:rsidRPr="005118DF">
        <w:rPr>
          <w:rStyle w:val="EndnoteReference"/>
          <w:sz w:val="20"/>
          <w:szCs w:val="20"/>
        </w:rPr>
        <w:endnoteRef/>
      </w:r>
      <w:r w:rsidRPr="005118DF">
        <w:rPr>
          <w:sz w:val="20"/>
          <w:szCs w:val="20"/>
        </w:rPr>
        <w:t xml:space="preserve"> 2009: </w:t>
      </w:r>
      <w:r w:rsidRPr="005118DF">
        <w:rPr>
          <w:rFonts w:ascii="Times" w:hAnsi="Times" w:cs="Arial"/>
          <w:color w:val="000000"/>
          <w:sz w:val="20"/>
          <w:szCs w:val="20"/>
        </w:rPr>
        <w:t xml:space="preserve">“At the workshop, participants noted that EUA has a broader use beyond enabling the use of an unapproved product or extending the use of an approved product to populations for which it was not approved. In particular, it can also be used to address labeling requirements and other challenges that arise because of constraints inherent in a public health response. </w:t>
      </w:r>
      <w:r w:rsidRPr="005118DF">
        <w:rPr>
          <w:rFonts w:ascii="Times" w:hAnsi="Times" w:cs="Arial"/>
          <w:b/>
          <w:bCs/>
          <w:color w:val="000000"/>
          <w:sz w:val="20"/>
          <w:szCs w:val="20"/>
        </w:rPr>
        <w:t>‘From a legal perspective, there are a lot of situations where EUA helps get past all those requirements,’</w:t>
      </w:r>
      <w:r w:rsidRPr="005118DF">
        <w:rPr>
          <w:rFonts w:ascii="Times" w:hAnsi="Times" w:cs="Arial"/>
          <w:color w:val="000000"/>
          <w:sz w:val="20"/>
          <w:szCs w:val="20"/>
        </w:rPr>
        <w:t xml:space="preserve"> said [Susan E. Sherman, J.D., M.S., a senior attorney with the Office of the General Counsel, HHS] </w:t>
      </w:r>
      <w:r w:rsidRPr="005118DF">
        <w:rPr>
          <w:rFonts w:ascii="Times" w:hAnsi="Times" w:cs="Arial"/>
          <w:b/>
          <w:bCs/>
          <w:color w:val="000000"/>
          <w:sz w:val="20"/>
          <w:szCs w:val="20"/>
        </w:rPr>
        <w:t>‘You can change the labeling. You can change the information. You can change the dosage. You can give it to populations for which wasn’t approved.</w:t>
      </w:r>
      <w:proofErr w:type="gramStart"/>
      <w:r w:rsidRPr="005118DF">
        <w:rPr>
          <w:rFonts w:ascii="Times" w:hAnsi="Times" w:cs="Arial"/>
          <w:b/>
          <w:bCs/>
          <w:color w:val="000000"/>
          <w:sz w:val="20"/>
          <w:szCs w:val="20"/>
        </w:rPr>
        <w:t>’</w:t>
      </w:r>
      <w:r w:rsidRPr="005118DF">
        <w:rPr>
          <w:rFonts w:ascii="Times" w:hAnsi="Times" w:cs="Arial"/>
          <w:color w:val="000000"/>
          <w:sz w:val="20"/>
          <w:szCs w:val="20"/>
        </w:rPr>
        <w:t xml:space="preserve"> ”</w:t>
      </w:r>
      <w:proofErr w:type="gramEnd"/>
      <w:r w:rsidRPr="005118DF">
        <w:rPr>
          <w:rFonts w:ascii="Times" w:hAnsi="Times" w:cs="Arial"/>
          <w:color w:val="000000"/>
          <w:sz w:val="20"/>
          <w:szCs w:val="20"/>
        </w:rPr>
        <w:t xml:space="preserve"> US-HHS FDA Workshop Summary, </w:t>
      </w:r>
      <w:r w:rsidRPr="005118DF">
        <w:rPr>
          <w:rFonts w:ascii="Times" w:hAnsi="Times" w:cs="Arial"/>
          <w:i/>
          <w:iCs/>
          <w:sz w:val="20"/>
          <w:szCs w:val="20"/>
        </w:rPr>
        <w:t>Medical Countermeasures Dispensing: Emergency Use Authorization and the Postal Model</w:t>
      </w:r>
      <w:r w:rsidR="00C668FC" w:rsidRPr="005118DF">
        <w:rPr>
          <w:rFonts w:ascii="Times" w:hAnsi="Times" w:cs="Arial"/>
          <w:color w:val="000000"/>
          <w:sz w:val="20"/>
          <w:szCs w:val="20"/>
        </w:rPr>
        <w:t xml:space="preserve"> (2009).</w:t>
      </w:r>
    </w:p>
    <w:p w14:paraId="6E0BDEF6" w14:textId="77777777" w:rsidR="000A06E5" w:rsidRPr="005118DF" w:rsidRDefault="000A06E5" w:rsidP="000A06E5">
      <w:pPr>
        <w:pStyle w:val="NormalWeb"/>
        <w:spacing w:before="0" w:beforeAutospacing="0" w:after="0" w:afterAutospacing="0"/>
        <w:jc w:val="both"/>
        <w:rPr>
          <w:rFonts w:ascii="Times" w:hAnsi="Times" w:cs="Arial"/>
          <w:color w:val="000000"/>
          <w:sz w:val="20"/>
          <w:szCs w:val="20"/>
        </w:rPr>
      </w:pPr>
    </w:p>
  </w:endnote>
  <w:endnote w:id="14">
    <w:p w14:paraId="58758105" w14:textId="0739A7C4" w:rsidR="00440D26" w:rsidRPr="005118DF" w:rsidRDefault="00440D26" w:rsidP="00440D26">
      <w:pPr>
        <w:pStyle w:val="NormalWeb"/>
        <w:spacing w:before="0" w:beforeAutospacing="0" w:after="0" w:afterAutospacing="0"/>
        <w:jc w:val="both"/>
        <w:rPr>
          <w:sz w:val="20"/>
          <w:szCs w:val="20"/>
        </w:rPr>
      </w:pPr>
      <w:r w:rsidRPr="005118DF">
        <w:rPr>
          <w:rStyle w:val="EndnoteReference"/>
          <w:sz w:val="20"/>
          <w:szCs w:val="20"/>
        </w:rPr>
        <w:endnoteRef/>
      </w:r>
      <w:r w:rsidRPr="005118DF">
        <w:rPr>
          <w:sz w:val="20"/>
          <w:szCs w:val="20"/>
        </w:rPr>
        <w:t xml:space="preserve"> </w:t>
      </w:r>
      <w:r w:rsidRPr="005118DF">
        <w:rPr>
          <w:rFonts w:ascii="Times" w:hAnsi="Times"/>
          <w:sz w:val="20"/>
          <w:szCs w:val="20"/>
        </w:rPr>
        <w:t>21 USC</w:t>
      </w:r>
      <w:r w:rsidRPr="005118DF">
        <w:rPr>
          <w:sz w:val="20"/>
          <w:szCs w:val="20"/>
        </w:rPr>
        <w:t xml:space="preserve"> § 360bbb. </w:t>
      </w:r>
      <w:r w:rsidRPr="005118DF">
        <w:rPr>
          <w:b/>
          <w:bCs/>
          <w:sz w:val="20"/>
          <w:szCs w:val="20"/>
        </w:rPr>
        <w:t>Expanded access to unapproved therapies and diagnostics</w:t>
      </w:r>
      <w:r w:rsidRPr="005118DF">
        <w:rPr>
          <w:sz w:val="20"/>
          <w:szCs w:val="20"/>
        </w:rPr>
        <w:t xml:space="preserve">; §360bbb–0. Expanded access policy required for investigational drugs; §360bbb–0a. Investigational drugs for use by eligible patients; §360bbb–1. Dispute resolution; §360bbb–2. Classification of products; §360bbb–3. </w:t>
      </w:r>
      <w:r w:rsidRPr="005118DF">
        <w:rPr>
          <w:b/>
          <w:bCs/>
          <w:sz w:val="20"/>
          <w:szCs w:val="20"/>
        </w:rPr>
        <w:t>Authorization for medical products for use in emergencies [Emergency Use Authorization/EUA products]</w:t>
      </w:r>
      <w:r w:rsidRPr="005118DF">
        <w:rPr>
          <w:sz w:val="20"/>
          <w:szCs w:val="20"/>
        </w:rPr>
        <w:t>; §360bbb–3a. Emergency use of medical products; §360bbb–3b. Products held for emergency use; §360bbb–3c. Expedited development and review of medical products for emergency uses; §360bbb–4. Countermeasure development, review, and technical assistance; §360bbb–4a. Priority review to encourage treatments for agents that present national security threats; §360bbb–4b. Medical countermeasure master files; §360bbb–5. Critical Path Public-Private Partnerships; §360bbb–6. Risk communication; §360bbb–7. Notification; §360bbb–8. Consultation with external experts on rare diseases, targeted therapies, and genetic targeting of treatments; §360bbb–8a. Optimizing global clinical trials; §360bbb–8b. Use of clinical investigation data from outside the United States; §360bbb–8c. Patient participation in medical product discussion; §360bbb–8d. Notification, nondistribution, and recall of controlled substances.</w:t>
      </w:r>
    </w:p>
  </w:endnote>
  <w:endnote w:id="15">
    <w:p w14:paraId="2EE38E2F" w14:textId="69BDAAF3" w:rsidR="00D44DF9" w:rsidRPr="005118DF" w:rsidRDefault="00D44DF9" w:rsidP="00C668FC">
      <w:pPr>
        <w:pStyle w:val="NormalWeb"/>
        <w:jc w:val="both"/>
        <w:rPr>
          <w:sz w:val="20"/>
          <w:szCs w:val="20"/>
        </w:rPr>
      </w:pPr>
      <w:r w:rsidRPr="005118DF">
        <w:rPr>
          <w:rStyle w:val="EndnoteReference"/>
          <w:sz w:val="20"/>
          <w:szCs w:val="20"/>
        </w:rPr>
        <w:endnoteRef/>
      </w:r>
      <w:r w:rsidRPr="005118DF">
        <w:rPr>
          <w:sz w:val="20"/>
          <w:szCs w:val="20"/>
        </w:rPr>
        <w:t xml:space="preserve">  42 USC 300hh-10a. </w:t>
      </w:r>
      <w:r w:rsidR="00C668FC" w:rsidRPr="005118DF">
        <w:rPr>
          <w:b/>
          <w:bCs/>
          <w:sz w:val="20"/>
          <w:szCs w:val="20"/>
        </w:rPr>
        <w:t>Public Health Emergency Medical Countermeasures Enterprise</w:t>
      </w:r>
      <w:r w:rsidRPr="005118DF">
        <w:rPr>
          <w:sz w:val="20"/>
          <w:szCs w:val="20"/>
        </w:rPr>
        <w:t xml:space="preserve"> membership shall include: (1) The [HHS] Assistant Secretary for Preparedness and Response; (2) The Director of the Centers for Disease Control and Prevention; (3) The Director of the National Institutes of Health; (4) The Commissioner of Food and Drugs; (5) The Secretary of Defense; (6) The Secretary of Homeland Security; (7) The Secretary of Agriculture; (8) The Secretary of Veterans Affairs; (9) The Director of National Intelligence; (10) Representatives of any other Federal agency, which may include the Director of the Biomedical Advanced Research and Development Authority, the Director of the Strategic National Stockpile, the Director of the National Institute of Allergy and Infectious Diseases, and the Director of the Office of Public Health Preparedness and Response, as the [HHS] Secretary determines appropriate.</w:t>
      </w:r>
    </w:p>
  </w:endnote>
  <w:endnote w:id="16">
    <w:p w14:paraId="6AD27418" w14:textId="307287F1" w:rsidR="00440D26" w:rsidRPr="005118DF" w:rsidRDefault="00440D26" w:rsidP="00440D26">
      <w:pPr>
        <w:jc w:val="both"/>
        <w:rPr>
          <w:color w:val="000000" w:themeColor="text1"/>
          <w:sz w:val="20"/>
          <w:szCs w:val="20"/>
        </w:rPr>
      </w:pPr>
      <w:r w:rsidRPr="005118DF">
        <w:rPr>
          <w:rStyle w:val="EndnoteReference"/>
          <w:sz w:val="20"/>
          <w:szCs w:val="20"/>
        </w:rPr>
        <w:endnoteRef/>
      </w:r>
      <w:r w:rsidRPr="005118DF">
        <w:rPr>
          <w:sz w:val="20"/>
          <w:szCs w:val="20"/>
        </w:rPr>
        <w:t xml:space="preserve"> 42 USC </w:t>
      </w:r>
      <w:r w:rsidRPr="005118DF">
        <w:rPr>
          <w:color w:val="000000" w:themeColor="text1"/>
          <w:sz w:val="20"/>
          <w:szCs w:val="20"/>
        </w:rPr>
        <w:t xml:space="preserve">§ 300hh. </w:t>
      </w:r>
      <w:r w:rsidRPr="005118DF">
        <w:rPr>
          <w:b/>
          <w:bCs/>
          <w:color w:val="000000" w:themeColor="text1"/>
          <w:sz w:val="20"/>
          <w:szCs w:val="20"/>
        </w:rPr>
        <w:t>Public health and medical preparedness and response functions</w:t>
      </w:r>
      <w:r w:rsidRPr="005118DF">
        <w:rPr>
          <w:color w:val="000000" w:themeColor="text1"/>
          <w:sz w:val="20"/>
          <w:szCs w:val="20"/>
        </w:rPr>
        <w:t xml:space="preserve">; §300hh–1. National Health Security Strategy; §300hh–2. Enhancing medical surge capacity; §300hh–10. Coordination of preparedness for and response to all-hazards public health emergencies; §300hh–10a. </w:t>
      </w:r>
      <w:r w:rsidRPr="005118DF">
        <w:rPr>
          <w:b/>
          <w:bCs/>
          <w:color w:val="000000" w:themeColor="text1"/>
          <w:sz w:val="20"/>
          <w:szCs w:val="20"/>
        </w:rPr>
        <w:t>Public Health Emergency Medical Countermeasures Enterprise</w:t>
      </w:r>
      <w:r w:rsidRPr="005118DF">
        <w:rPr>
          <w:color w:val="000000" w:themeColor="text1"/>
          <w:sz w:val="20"/>
          <w:szCs w:val="20"/>
        </w:rPr>
        <w:t xml:space="preserve">; §300hh–10b. National Advisory Committee on Children and Disasters; §300hh–10c. National Advisory Committee on Seniors and Disasters; §300hh–10d. National Advisory Committee on Individuals </w:t>
      </w:r>
      <w:proofErr w:type="gramStart"/>
      <w:r w:rsidRPr="005118DF">
        <w:rPr>
          <w:color w:val="000000" w:themeColor="text1"/>
          <w:sz w:val="20"/>
          <w:szCs w:val="20"/>
        </w:rPr>
        <w:t>With</w:t>
      </w:r>
      <w:proofErr w:type="gramEnd"/>
      <w:r w:rsidRPr="005118DF">
        <w:rPr>
          <w:color w:val="000000" w:themeColor="text1"/>
          <w:sz w:val="20"/>
          <w:szCs w:val="20"/>
        </w:rPr>
        <w:t xml:space="preserve"> Disabilities and Disasters; §300hh–10e. Advisory Committee Coordination; §300hh–11. National Disaster Medical System; §300hh–12. Transferred; §300hh–13. Evaluation of new and emerging technologies regarding bioterrorist attack and other public health emergencies; §300hh–14. Protection of health and safety during disasters; §300hh–15. Volunteer Medical Reserve Corps; §300hh–16. At-risk individuals; §300hh–17. Emergency response coordination of primary care providers; §300hh–31. Epidemiology-laboratory capacity grants; §300hh–32. Enhanced support to assist health departments in addressing vector-borne diseases; §300hh–33. Public health data system modernization </w:t>
      </w:r>
    </w:p>
    <w:p w14:paraId="26BCA073" w14:textId="77777777" w:rsidR="00440D26" w:rsidRPr="005118DF" w:rsidRDefault="00440D26" w:rsidP="00440D26">
      <w:pPr>
        <w:jc w:val="both"/>
        <w:rPr>
          <w:color w:val="000000" w:themeColor="text1"/>
          <w:sz w:val="20"/>
          <w:szCs w:val="20"/>
        </w:rPr>
      </w:pPr>
    </w:p>
  </w:endnote>
  <w:endnote w:id="17">
    <w:p w14:paraId="2D642CA0" w14:textId="1B18891C" w:rsidR="00714D7C" w:rsidRPr="005118DF" w:rsidRDefault="00714D7C" w:rsidP="00714D7C">
      <w:pPr>
        <w:pStyle w:val="EndnoteText"/>
        <w:jc w:val="both"/>
      </w:pPr>
      <w:r w:rsidRPr="005118DF">
        <w:rPr>
          <w:rStyle w:val="EndnoteReference"/>
        </w:rPr>
        <w:endnoteRef/>
      </w:r>
      <w:r w:rsidRPr="005118DF">
        <w:t xml:space="preserve"> NDAA for FY-2016 (PL 114-92)</w:t>
      </w:r>
      <w:r w:rsidR="00A11B99" w:rsidRPr="005118DF">
        <w:t>,</w:t>
      </w:r>
      <w:r w:rsidRPr="005118DF">
        <w:t xml:space="preserve"> Section 815 added ‘prototype’ procurement contracting language (Other Transaction</w:t>
      </w:r>
      <w:r w:rsidR="00C668FC" w:rsidRPr="005118DF">
        <w:t>s</w:t>
      </w:r>
      <w:r w:rsidRPr="005118DF">
        <w:t xml:space="preserve"> Authority - OTA), authorizing DOD to contract with pharmaceutical corporations to produce bio</w:t>
      </w:r>
      <w:r w:rsidR="00C668FC" w:rsidRPr="005118DF">
        <w:t>agent</w:t>
      </w:r>
      <w:r w:rsidRPr="005118DF">
        <w:t>s labeled as medical countermeasures or security countermeasures. Codified at 10 USC 2371b, renumbered 10 USC 4022.</w:t>
      </w:r>
    </w:p>
    <w:p w14:paraId="7710CF96" w14:textId="77777777" w:rsidR="00714D7C" w:rsidRPr="005118DF" w:rsidRDefault="00714D7C" w:rsidP="00714D7C">
      <w:pPr>
        <w:pStyle w:val="EndnoteText"/>
      </w:pPr>
    </w:p>
  </w:endnote>
  <w:endnote w:id="18">
    <w:p w14:paraId="5AF8A90C" w14:textId="39E6E0FF" w:rsidR="00440D26" w:rsidRPr="005118DF" w:rsidRDefault="00440D26" w:rsidP="00440D26">
      <w:pPr>
        <w:pStyle w:val="NormalWeb"/>
        <w:spacing w:before="0" w:beforeAutospacing="0" w:after="0" w:afterAutospacing="0"/>
        <w:jc w:val="both"/>
        <w:rPr>
          <w:sz w:val="20"/>
          <w:szCs w:val="20"/>
        </w:rPr>
      </w:pPr>
      <w:r w:rsidRPr="005118DF">
        <w:rPr>
          <w:rStyle w:val="EndnoteReference"/>
          <w:sz w:val="20"/>
          <w:szCs w:val="20"/>
        </w:rPr>
        <w:endnoteRef/>
      </w:r>
      <w:r w:rsidRPr="005118DF">
        <w:rPr>
          <w:sz w:val="20"/>
          <w:szCs w:val="20"/>
        </w:rPr>
        <w:t xml:space="preserve"> 10 USC §4021. </w:t>
      </w:r>
      <w:r w:rsidRPr="005118DF">
        <w:rPr>
          <w:b/>
          <w:bCs/>
          <w:sz w:val="20"/>
          <w:szCs w:val="20"/>
        </w:rPr>
        <w:t>Research projects: transactions other than contracts and grants;</w:t>
      </w:r>
      <w:r w:rsidRPr="005118DF">
        <w:rPr>
          <w:sz w:val="20"/>
          <w:szCs w:val="20"/>
        </w:rPr>
        <w:t xml:space="preserve"> § 4022. </w:t>
      </w:r>
      <w:r w:rsidRPr="005118DF">
        <w:rPr>
          <w:b/>
          <w:bCs/>
          <w:sz w:val="20"/>
          <w:szCs w:val="20"/>
        </w:rPr>
        <w:t>Authority of the Department of Defense to carry out certain prototype projects</w:t>
      </w:r>
      <w:r w:rsidRPr="005118DF">
        <w:rPr>
          <w:sz w:val="20"/>
          <w:szCs w:val="20"/>
        </w:rPr>
        <w:t>; §4023. Procurement for experimental purposes; §4024. Merit-based award of grants for research and development; §4025. Prizes for advanced technology achievements; §4026. Cooperative research and development agreements under Stevenson-Wydler Technology Innovation Act of 1980; [§4027. Disclosure requirements for recipients of research and development funds]</w:t>
      </w:r>
    </w:p>
  </w:endnote>
  <w:endnote w:id="19">
    <w:p w14:paraId="107A1F6F" w14:textId="77777777" w:rsidR="00A11B99" w:rsidRPr="005118DF" w:rsidRDefault="00A11B99" w:rsidP="00A11B99">
      <w:pPr>
        <w:pStyle w:val="Heading1"/>
        <w:jc w:val="both"/>
        <w:rPr>
          <w:b w:val="0"/>
          <w:bCs w:val="0"/>
          <w:sz w:val="20"/>
          <w:szCs w:val="20"/>
        </w:rPr>
      </w:pPr>
      <w:r w:rsidRPr="005118DF">
        <w:rPr>
          <w:rStyle w:val="EndnoteReference"/>
          <w:b w:val="0"/>
          <w:bCs w:val="0"/>
          <w:sz w:val="20"/>
          <w:szCs w:val="20"/>
        </w:rPr>
        <w:endnoteRef/>
      </w:r>
      <w:r w:rsidRPr="005118DF">
        <w:rPr>
          <w:b w:val="0"/>
          <w:bCs w:val="0"/>
          <w:sz w:val="20"/>
          <w:szCs w:val="20"/>
        </w:rPr>
        <w:t xml:space="preserve"> Notice of </w:t>
      </w:r>
      <w:r w:rsidRPr="005118DF">
        <w:rPr>
          <w:sz w:val="20"/>
          <w:szCs w:val="20"/>
        </w:rPr>
        <w:t>Determination that a Public Health Emergency Exists, effective Jan. 27, 2020</w:t>
      </w:r>
      <w:r w:rsidRPr="005118DF">
        <w:rPr>
          <w:b w:val="0"/>
          <w:bCs w:val="0"/>
          <w:sz w:val="20"/>
          <w:szCs w:val="20"/>
        </w:rPr>
        <w:t>. 85 Federal Register 7316, Feb. 07, 2020.</w:t>
      </w:r>
    </w:p>
  </w:endnote>
  <w:endnote w:id="20">
    <w:p w14:paraId="38149248" w14:textId="77777777" w:rsidR="00A11B99" w:rsidRPr="005118DF" w:rsidRDefault="00A11B99" w:rsidP="00A11B99">
      <w:pPr>
        <w:pStyle w:val="EndnoteText"/>
        <w:jc w:val="both"/>
        <w:rPr>
          <w:rFonts w:ascii="Times" w:hAnsi="Times" w:cs="Arial"/>
        </w:rPr>
      </w:pPr>
      <w:r w:rsidRPr="005118DF">
        <w:rPr>
          <w:rStyle w:val="EndnoteReference"/>
        </w:rPr>
        <w:endnoteRef/>
      </w:r>
      <w:r w:rsidRPr="005118DF">
        <w:t xml:space="preserve"> Notice of </w:t>
      </w:r>
      <w:r w:rsidRPr="005118DF">
        <w:rPr>
          <w:rFonts w:ascii="Times" w:hAnsi="Times" w:cs="Arial"/>
          <w:b/>
          <w:bCs/>
        </w:rPr>
        <w:t>Declaration Under the Public</w:t>
      </w:r>
      <w:r w:rsidRPr="005118DF">
        <w:rPr>
          <w:rFonts w:ascii="Times" w:hAnsi="Times"/>
          <w:b/>
          <w:bCs/>
        </w:rPr>
        <w:t xml:space="preserve"> </w:t>
      </w:r>
      <w:r w:rsidRPr="005118DF">
        <w:rPr>
          <w:rFonts w:ascii="Times" w:hAnsi="Times" w:cs="Arial"/>
          <w:b/>
          <w:bCs/>
        </w:rPr>
        <w:t>Readiness and Emergency</w:t>
      </w:r>
      <w:r w:rsidRPr="005118DF">
        <w:rPr>
          <w:rFonts w:ascii="Times" w:hAnsi="Times"/>
          <w:b/>
          <w:bCs/>
        </w:rPr>
        <w:t xml:space="preserve"> </w:t>
      </w:r>
      <w:r w:rsidRPr="005118DF">
        <w:rPr>
          <w:rFonts w:ascii="Times" w:hAnsi="Times" w:cs="Arial"/>
          <w:b/>
          <w:bCs/>
        </w:rPr>
        <w:t>Preparedness Act for Medical</w:t>
      </w:r>
      <w:r w:rsidRPr="005118DF">
        <w:rPr>
          <w:rFonts w:ascii="Times" w:hAnsi="Times"/>
          <w:b/>
          <w:bCs/>
        </w:rPr>
        <w:t xml:space="preserve"> </w:t>
      </w:r>
      <w:r w:rsidRPr="005118DF">
        <w:rPr>
          <w:rFonts w:ascii="Times" w:hAnsi="Times" w:cs="Arial"/>
          <w:b/>
          <w:bCs/>
        </w:rPr>
        <w:t>Countermeasures Against COVID–19, effective Feb. 04, 2020</w:t>
      </w:r>
      <w:r w:rsidRPr="005118DF">
        <w:rPr>
          <w:rFonts w:ascii="Times" w:hAnsi="Times" w:cs="Arial"/>
        </w:rPr>
        <w:t>. 85 Federal Register 15198, March 17, 2020.</w:t>
      </w:r>
    </w:p>
    <w:p w14:paraId="083CAD66" w14:textId="77777777" w:rsidR="00A11B99" w:rsidRPr="005118DF" w:rsidRDefault="00A11B99" w:rsidP="00A11B99">
      <w:pPr>
        <w:pStyle w:val="EndnoteText"/>
        <w:jc w:val="both"/>
        <w:rPr>
          <w:rFonts w:ascii="Times" w:hAnsi="Times"/>
        </w:rPr>
      </w:pPr>
    </w:p>
  </w:endnote>
  <w:endnote w:id="21">
    <w:p w14:paraId="1AD4E259" w14:textId="126A5651" w:rsidR="00164E11" w:rsidRPr="005118DF" w:rsidRDefault="00164E11" w:rsidP="007B5819">
      <w:pPr>
        <w:pStyle w:val="EndnoteText"/>
        <w:jc w:val="both"/>
      </w:pPr>
      <w:r w:rsidRPr="005118DF">
        <w:rPr>
          <w:rStyle w:val="EndnoteReference"/>
        </w:rPr>
        <w:endnoteRef/>
      </w:r>
      <w:r w:rsidRPr="005118DF">
        <w:t xml:space="preserve"> </w:t>
      </w:r>
      <w:r w:rsidR="00C668FC" w:rsidRPr="005118DF">
        <w:t xml:space="preserve">2021: </w:t>
      </w:r>
      <w:r w:rsidRPr="005118DF">
        <w:t xml:space="preserve">CDC </w:t>
      </w:r>
      <w:r w:rsidRPr="005118DF">
        <w:rPr>
          <w:i/>
          <w:iCs/>
        </w:rPr>
        <w:t>COVID-19 Vaccination Program Provider Requirements and Support</w:t>
      </w:r>
      <w:r w:rsidRPr="005118DF">
        <w:t xml:space="preserve">, https://www.cdc.gov/vaccines/covid-19/vaccination-provider-support.html#provider-agreement (updated 06/11/2021). </w:t>
      </w:r>
      <w:r w:rsidRPr="005118DF">
        <w:rPr>
          <w:b/>
          <w:bCs/>
        </w:rPr>
        <w:t>Diversion of COVID-19 Vaccines Prohibited</w:t>
      </w:r>
      <w:r w:rsidRPr="005118DF">
        <w:t xml:space="preserve">: "At this time, all COVID-19 vaccine in the United States has been purchased by the United States Government for administration exclusively through the CDC COVID-19 Vaccination Program. The vaccine and all related ancillary supplies, including the COVID-19 Vaccination Cards, remains U.S. government property until vaccine is administered to the recipient...COVID-19 vaccination providers are prohibited from selling USG-purchased COVID-19 vaccine (and ancillary materials purchased by the USG for use in the Vaccination Program), soliciting or receiving any inducement, whether direct or indirect, for vaccinating (or providing COVID-19 vaccine to be used for vaccinating) any individual who is not currently eligible to receive COVID-19 vaccine as a member of a group currently authorized under prioritization specified by HHS/CDC /ACIP, the state/territory’s governor or other relevant public health authority, or otherwise diverting COVID-19 vaccine from the CDC COVID-19 Vaccination Program. Such use constitutes fraud and is a violation of the terms of the provider agreement. It shall be cause for immediate termination from the CDC COVID-19 Vaccination Program and criminal or civil prosecution for violation of 18 U.S.C. §1001 or other relevant federal statutes. </w:t>
      </w:r>
    </w:p>
    <w:p w14:paraId="73FC1DF6" w14:textId="77777777" w:rsidR="00164E11" w:rsidRPr="00C668FC" w:rsidRDefault="00164E11">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4564403"/>
      <w:docPartObj>
        <w:docPartGallery w:val="Page Numbers (Bottom of Page)"/>
        <w:docPartUnique/>
      </w:docPartObj>
    </w:sdtPr>
    <w:sdtContent>
      <w:p w14:paraId="53FB1EB2" w14:textId="77777777" w:rsidR="007B6F88" w:rsidRDefault="007B6F88" w:rsidP="00D73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3D5848E" w14:textId="77777777" w:rsidR="007B6F88" w:rsidRDefault="007B6F88" w:rsidP="007B6F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712884"/>
      <w:docPartObj>
        <w:docPartGallery w:val="Page Numbers (Bottom of Page)"/>
        <w:docPartUnique/>
      </w:docPartObj>
    </w:sdtPr>
    <w:sdtContent>
      <w:p w14:paraId="090BC211" w14:textId="77777777" w:rsidR="007B6F88" w:rsidRDefault="007B6F88" w:rsidP="00D73C40">
        <w:pPr>
          <w:pStyle w:val="Footer"/>
          <w:framePr w:wrap="none" w:vAnchor="text" w:hAnchor="margin" w:xAlign="right" w:y="1"/>
          <w:rPr>
            <w:rStyle w:val="PageNumber"/>
          </w:rPr>
        </w:pPr>
        <w:r w:rsidRPr="00BC7C2B">
          <w:rPr>
            <w:rStyle w:val="PageNumber"/>
            <w:rFonts w:ascii="Times" w:hAnsi="Times"/>
          </w:rPr>
          <w:fldChar w:fldCharType="begin"/>
        </w:r>
        <w:r w:rsidRPr="00BC7C2B">
          <w:rPr>
            <w:rStyle w:val="PageNumber"/>
            <w:rFonts w:ascii="Times" w:hAnsi="Times"/>
          </w:rPr>
          <w:instrText xml:space="preserve"> PAGE </w:instrText>
        </w:r>
        <w:r w:rsidRPr="00BC7C2B">
          <w:rPr>
            <w:rStyle w:val="PageNumber"/>
            <w:rFonts w:ascii="Times" w:hAnsi="Times"/>
          </w:rPr>
          <w:fldChar w:fldCharType="separate"/>
        </w:r>
        <w:r w:rsidRPr="00BC7C2B">
          <w:rPr>
            <w:rStyle w:val="PageNumber"/>
            <w:rFonts w:ascii="Times" w:hAnsi="Times"/>
            <w:noProof/>
          </w:rPr>
          <w:t>5</w:t>
        </w:r>
        <w:r w:rsidRPr="00BC7C2B">
          <w:rPr>
            <w:rStyle w:val="PageNumber"/>
            <w:rFonts w:ascii="Times" w:hAnsi="Times"/>
          </w:rPr>
          <w:fldChar w:fldCharType="end"/>
        </w:r>
      </w:p>
    </w:sdtContent>
  </w:sdt>
  <w:p w14:paraId="2320B336" w14:textId="179FFBA8" w:rsidR="007B6F88" w:rsidRPr="007B6F88" w:rsidRDefault="0082329A" w:rsidP="007A2C40">
    <w:pPr>
      <w:pStyle w:val="Footer"/>
      <w:tabs>
        <w:tab w:val="clear" w:pos="4680"/>
        <w:tab w:val="clear" w:pos="9360"/>
        <w:tab w:val="left" w:pos="0"/>
      </w:tabs>
      <w:ind w:right="360"/>
      <w:jc w:val="center"/>
      <w:rPr>
        <w:rFonts w:ascii="Times" w:hAnsi="Times"/>
        <w:sz w:val="20"/>
        <w:szCs w:val="20"/>
      </w:rPr>
    </w:pPr>
    <w:r>
      <w:rPr>
        <w:rFonts w:ascii="Times" w:hAnsi="Times"/>
        <w:sz w:val="20"/>
        <w:szCs w:val="20"/>
      </w:rPr>
      <w:t>January 2023</w:t>
    </w:r>
    <w:r w:rsidR="005118DF">
      <w:rPr>
        <w:rFonts w:ascii="Times" w:hAnsi="Times"/>
        <w:sz w:val="20"/>
        <w:szCs w:val="20"/>
      </w:rPr>
      <w:t xml:space="preserve"> - Bailiwick News Substack</w:t>
    </w:r>
    <w:r>
      <w:rPr>
        <w:rFonts w:ascii="Times" w:hAnsi="Times"/>
        <w:sz w:val="20"/>
        <w:szCs w:val="20"/>
      </w:rPr>
      <w:t>, written/compiled by Katherine Watt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0961" w14:textId="77777777" w:rsidR="00EC0241" w:rsidRDefault="00EC0241" w:rsidP="00B91EC3">
      <w:r>
        <w:separator/>
      </w:r>
    </w:p>
  </w:footnote>
  <w:footnote w:type="continuationSeparator" w:id="0">
    <w:p w14:paraId="1FA5C76C" w14:textId="77777777" w:rsidR="00EC0241" w:rsidRDefault="00EC0241" w:rsidP="00B9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AAD"/>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5672E"/>
    <w:multiLevelType w:val="multilevel"/>
    <w:tmpl w:val="234A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03D9"/>
    <w:multiLevelType w:val="multilevel"/>
    <w:tmpl w:val="82EC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406F3"/>
    <w:multiLevelType w:val="multilevel"/>
    <w:tmpl w:val="8CB4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21494"/>
    <w:multiLevelType w:val="multilevel"/>
    <w:tmpl w:val="EC94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67AE1"/>
    <w:multiLevelType w:val="multilevel"/>
    <w:tmpl w:val="C5B8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634C1"/>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81609"/>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B070C"/>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975F8A"/>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A97470"/>
    <w:multiLevelType w:val="multilevel"/>
    <w:tmpl w:val="824A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13EC3"/>
    <w:multiLevelType w:val="hybridMultilevel"/>
    <w:tmpl w:val="F30E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9199B"/>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F310C"/>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F48D9"/>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8D07F4"/>
    <w:multiLevelType w:val="hybridMultilevel"/>
    <w:tmpl w:val="AAE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055DA"/>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C67986"/>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05CCD"/>
    <w:multiLevelType w:val="multilevel"/>
    <w:tmpl w:val="EC94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CA34F5"/>
    <w:multiLevelType w:val="multilevel"/>
    <w:tmpl w:val="2ABE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6A19F2"/>
    <w:multiLevelType w:val="hybridMultilevel"/>
    <w:tmpl w:val="FC16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467085">
    <w:abstractNumId w:val="10"/>
  </w:num>
  <w:num w:numId="2" w16cid:durableId="1093013137">
    <w:abstractNumId w:val="5"/>
  </w:num>
  <w:num w:numId="3" w16cid:durableId="1860657067">
    <w:abstractNumId w:val="3"/>
  </w:num>
  <w:num w:numId="4" w16cid:durableId="2058118391">
    <w:abstractNumId w:val="12"/>
    <w:lvlOverride w:ilvl="0">
      <w:startOverride w:val="3"/>
    </w:lvlOverride>
  </w:num>
  <w:num w:numId="5" w16cid:durableId="2120951102">
    <w:abstractNumId w:val="14"/>
  </w:num>
  <w:num w:numId="6" w16cid:durableId="1387140332">
    <w:abstractNumId w:val="17"/>
    <w:lvlOverride w:ilvl="0">
      <w:startOverride w:val="3"/>
    </w:lvlOverride>
  </w:num>
  <w:num w:numId="7" w16cid:durableId="1320502247">
    <w:abstractNumId w:val="16"/>
  </w:num>
  <w:num w:numId="8" w16cid:durableId="785199631">
    <w:abstractNumId w:val="13"/>
  </w:num>
  <w:num w:numId="9" w16cid:durableId="142741512">
    <w:abstractNumId w:val="9"/>
    <w:lvlOverride w:ilvl="0">
      <w:startOverride w:val="3"/>
    </w:lvlOverride>
  </w:num>
  <w:num w:numId="10" w16cid:durableId="464860375">
    <w:abstractNumId w:val="6"/>
  </w:num>
  <w:num w:numId="11" w16cid:durableId="2028828011">
    <w:abstractNumId w:val="8"/>
  </w:num>
  <w:num w:numId="12" w16cid:durableId="2009013253">
    <w:abstractNumId w:val="1"/>
  </w:num>
  <w:num w:numId="13" w16cid:durableId="1915356081">
    <w:abstractNumId w:val="11"/>
  </w:num>
  <w:num w:numId="14" w16cid:durableId="918712215">
    <w:abstractNumId w:val="19"/>
  </w:num>
  <w:num w:numId="15" w16cid:durableId="1178081501">
    <w:abstractNumId w:val="0"/>
  </w:num>
  <w:num w:numId="16" w16cid:durableId="573705320">
    <w:abstractNumId w:val="7"/>
  </w:num>
  <w:num w:numId="17" w16cid:durableId="1905875558">
    <w:abstractNumId w:val="2"/>
  </w:num>
  <w:num w:numId="18" w16cid:durableId="1763066570">
    <w:abstractNumId w:val="20"/>
  </w:num>
  <w:num w:numId="19" w16cid:durableId="2033727183">
    <w:abstractNumId w:val="18"/>
    <w:lvlOverride w:ilvl="0">
      <w:startOverride w:val="3"/>
    </w:lvlOverride>
  </w:num>
  <w:num w:numId="20" w16cid:durableId="504518026">
    <w:abstractNumId w:val="4"/>
  </w:num>
  <w:num w:numId="21" w16cid:durableId="1094669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B9"/>
    <w:rsid w:val="00010571"/>
    <w:rsid w:val="000240E9"/>
    <w:rsid w:val="00041AB9"/>
    <w:rsid w:val="0004495C"/>
    <w:rsid w:val="00050472"/>
    <w:rsid w:val="00052B81"/>
    <w:rsid w:val="00085556"/>
    <w:rsid w:val="000A06E5"/>
    <w:rsid w:val="000B400B"/>
    <w:rsid w:val="000C6137"/>
    <w:rsid w:val="000D716D"/>
    <w:rsid w:val="000F44B2"/>
    <w:rsid w:val="00123599"/>
    <w:rsid w:val="001510B8"/>
    <w:rsid w:val="00164E11"/>
    <w:rsid w:val="0017676C"/>
    <w:rsid w:val="00182E53"/>
    <w:rsid w:val="001A0673"/>
    <w:rsid w:val="001D0F39"/>
    <w:rsid w:val="001E7118"/>
    <w:rsid w:val="001F167C"/>
    <w:rsid w:val="001F1C18"/>
    <w:rsid w:val="00266DAB"/>
    <w:rsid w:val="00281C86"/>
    <w:rsid w:val="002959FE"/>
    <w:rsid w:val="00295EA5"/>
    <w:rsid w:val="00296375"/>
    <w:rsid w:val="002C0CBF"/>
    <w:rsid w:val="002D5D11"/>
    <w:rsid w:val="00303906"/>
    <w:rsid w:val="00307138"/>
    <w:rsid w:val="00321FE6"/>
    <w:rsid w:val="00322387"/>
    <w:rsid w:val="003459BE"/>
    <w:rsid w:val="00347410"/>
    <w:rsid w:val="00362325"/>
    <w:rsid w:val="00365F09"/>
    <w:rsid w:val="003B6FC4"/>
    <w:rsid w:val="003F3227"/>
    <w:rsid w:val="00405E05"/>
    <w:rsid w:val="00421244"/>
    <w:rsid w:val="00440D26"/>
    <w:rsid w:val="004936B8"/>
    <w:rsid w:val="004A75DC"/>
    <w:rsid w:val="004B20BC"/>
    <w:rsid w:val="004C0C6C"/>
    <w:rsid w:val="004F4DE9"/>
    <w:rsid w:val="0050241F"/>
    <w:rsid w:val="005118DF"/>
    <w:rsid w:val="005179AA"/>
    <w:rsid w:val="005242DA"/>
    <w:rsid w:val="00565563"/>
    <w:rsid w:val="0059187D"/>
    <w:rsid w:val="00610A2A"/>
    <w:rsid w:val="00631D76"/>
    <w:rsid w:val="00655736"/>
    <w:rsid w:val="006806D6"/>
    <w:rsid w:val="006C3014"/>
    <w:rsid w:val="006C6F68"/>
    <w:rsid w:val="00714D7C"/>
    <w:rsid w:val="007167D8"/>
    <w:rsid w:val="00753EA6"/>
    <w:rsid w:val="007710DE"/>
    <w:rsid w:val="007901FF"/>
    <w:rsid w:val="007A2C40"/>
    <w:rsid w:val="007B5819"/>
    <w:rsid w:val="007B68ED"/>
    <w:rsid w:val="007B6F88"/>
    <w:rsid w:val="00822053"/>
    <w:rsid w:val="0082329A"/>
    <w:rsid w:val="00861B60"/>
    <w:rsid w:val="00862072"/>
    <w:rsid w:val="00866361"/>
    <w:rsid w:val="008740E8"/>
    <w:rsid w:val="00875149"/>
    <w:rsid w:val="008773A1"/>
    <w:rsid w:val="00884E52"/>
    <w:rsid w:val="00891521"/>
    <w:rsid w:val="008C2767"/>
    <w:rsid w:val="008F409B"/>
    <w:rsid w:val="00937899"/>
    <w:rsid w:val="00942D0F"/>
    <w:rsid w:val="00947F4E"/>
    <w:rsid w:val="009A26AB"/>
    <w:rsid w:val="009E2A0F"/>
    <w:rsid w:val="00A11B99"/>
    <w:rsid w:val="00A41409"/>
    <w:rsid w:val="00A55B8E"/>
    <w:rsid w:val="00AC54A6"/>
    <w:rsid w:val="00B121D5"/>
    <w:rsid w:val="00B24885"/>
    <w:rsid w:val="00B35D5C"/>
    <w:rsid w:val="00B42E07"/>
    <w:rsid w:val="00B91EC3"/>
    <w:rsid w:val="00B92687"/>
    <w:rsid w:val="00BC1F05"/>
    <w:rsid w:val="00BC3729"/>
    <w:rsid w:val="00BC7C2B"/>
    <w:rsid w:val="00BF265E"/>
    <w:rsid w:val="00C0480A"/>
    <w:rsid w:val="00C12697"/>
    <w:rsid w:val="00C2436F"/>
    <w:rsid w:val="00C3665B"/>
    <w:rsid w:val="00C41DBA"/>
    <w:rsid w:val="00C44364"/>
    <w:rsid w:val="00C62133"/>
    <w:rsid w:val="00C668FC"/>
    <w:rsid w:val="00C842FB"/>
    <w:rsid w:val="00CA0C5D"/>
    <w:rsid w:val="00CC142A"/>
    <w:rsid w:val="00CC2B7F"/>
    <w:rsid w:val="00CC77D7"/>
    <w:rsid w:val="00CE5109"/>
    <w:rsid w:val="00D13362"/>
    <w:rsid w:val="00D30FFC"/>
    <w:rsid w:val="00D44DF9"/>
    <w:rsid w:val="00D46D51"/>
    <w:rsid w:val="00D5101C"/>
    <w:rsid w:val="00D73926"/>
    <w:rsid w:val="00DB312C"/>
    <w:rsid w:val="00DC5102"/>
    <w:rsid w:val="00DE02EB"/>
    <w:rsid w:val="00DE6656"/>
    <w:rsid w:val="00DF2C53"/>
    <w:rsid w:val="00E007C5"/>
    <w:rsid w:val="00E268EB"/>
    <w:rsid w:val="00E55D01"/>
    <w:rsid w:val="00E66146"/>
    <w:rsid w:val="00E91894"/>
    <w:rsid w:val="00EA5345"/>
    <w:rsid w:val="00EB1108"/>
    <w:rsid w:val="00EC0241"/>
    <w:rsid w:val="00EC67F5"/>
    <w:rsid w:val="00EE390B"/>
    <w:rsid w:val="00EE4FC9"/>
    <w:rsid w:val="00EF0316"/>
    <w:rsid w:val="00F23392"/>
    <w:rsid w:val="00F6052D"/>
    <w:rsid w:val="00F61D0A"/>
    <w:rsid w:val="00F82B80"/>
    <w:rsid w:val="00F832A3"/>
    <w:rsid w:val="00F96C39"/>
    <w:rsid w:val="00FA7EFF"/>
    <w:rsid w:val="00F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36D4"/>
  <w15:chartTrackingRefBased/>
  <w15:docId w15:val="{8B7F99DC-3403-1542-870E-B3C0FF91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01"/>
    <w:rPr>
      <w:rFonts w:ascii="Times New Roman" w:eastAsia="Times New Roman" w:hAnsi="Times New Roman" w:cs="Times New Roman"/>
    </w:rPr>
  </w:style>
  <w:style w:type="paragraph" w:styleId="Heading1">
    <w:name w:val="heading 1"/>
    <w:basedOn w:val="Normal"/>
    <w:link w:val="Heading1Char"/>
    <w:uiPriority w:val="9"/>
    <w:qFormat/>
    <w:rsid w:val="0042124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B926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7C5"/>
    <w:pPr>
      <w:spacing w:before="100" w:beforeAutospacing="1" w:after="100" w:afterAutospacing="1"/>
    </w:pPr>
  </w:style>
  <w:style w:type="character" w:styleId="Hyperlink">
    <w:name w:val="Hyperlink"/>
    <w:basedOn w:val="DefaultParagraphFont"/>
    <w:uiPriority w:val="99"/>
    <w:unhideWhenUsed/>
    <w:rsid w:val="00E007C5"/>
    <w:rPr>
      <w:color w:val="0000FF"/>
      <w:u w:val="single"/>
    </w:rPr>
  </w:style>
  <w:style w:type="character" w:styleId="UnresolvedMention">
    <w:name w:val="Unresolved Mention"/>
    <w:basedOn w:val="DefaultParagraphFont"/>
    <w:uiPriority w:val="99"/>
    <w:semiHidden/>
    <w:unhideWhenUsed/>
    <w:rsid w:val="00EE390B"/>
    <w:rPr>
      <w:color w:val="605E5C"/>
      <w:shd w:val="clear" w:color="auto" w:fill="E1DFDD"/>
    </w:rPr>
  </w:style>
  <w:style w:type="character" w:styleId="FollowedHyperlink">
    <w:name w:val="FollowedHyperlink"/>
    <w:basedOn w:val="DefaultParagraphFont"/>
    <w:uiPriority w:val="99"/>
    <w:semiHidden/>
    <w:unhideWhenUsed/>
    <w:rsid w:val="00421244"/>
    <w:rPr>
      <w:color w:val="954F72" w:themeColor="followedHyperlink"/>
      <w:u w:val="single"/>
    </w:rPr>
  </w:style>
  <w:style w:type="paragraph" w:customStyle="1" w:styleId="tocitem">
    <w:name w:val="tocitem"/>
    <w:basedOn w:val="Normal"/>
    <w:rsid w:val="00421244"/>
    <w:pPr>
      <w:spacing w:before="100" w:beforeAutospacing="1" w:after="100" w:afterAutospacing="1"/>
    </w:pPr>
  </w:style>
  <w:style w:type="paragraph" w:customStyle="1" w:styleId="breadcrumb-item">
    <w:name w:val="breadcrumb-item"/>
    <w:basedOn w:val="Normal"/>
    <w:rsid w:val="00421244"/>
    <w:pPr>
      <w:spacing w:before="100" w:beforeAutospacing="1" w:after="100" w:afterAutospacing="1"/>
    </w:pPr>
  </w:style>
  <w:style w:type="character" w:customStyle="1" w:styleId="Heading1Char">
    <w:name w:val="Heading 1 Char"/>
    <w:basedOn w:val="DefaultParagraphFont"/>
    <w:link w:val="Heading1"/>
    <w:uiPriority w:val="9"/>
    <w:rsid w:val="0042124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92687"/>
    <w:rPr>
      <w:i/>
      <w:iCs/>
    </w:rPr>
  </w:style>
  <w:style w:type="character" w:customStyle="1" w:styleId="Heading3Char">
    <w:name w:val="Heading 3 Char"/>
    <w:basedOn w:val="DefaultParagraphFont"/>
    <w:link w:val="Heading3"/>
    <w:uiPriority w:val="9"/>
    <w:rsid w:val="00B92687"/>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B91EC3"/>
    <w:rPr>
      <w:sz w:val="20"/>
      <w:szCs w:val="20"/>
    </w:rPr>
  </w:style>
  <w:style w:type="character" w:customStyle="1" w:styleId="FootnoteTextChar">
    <w:name w:val="Footnote Text Char"/>
    <w:basedOn w:val="DefaultParagraphFont"/>
    <w:link w:val="FootnoteText"/>
    <w:uiPriority w:val="99"/>
    <w:semiHidden/>
    <w:rsid w:val="00B91EC3"/>
    <w:rPr>
      <w:sz w:val="20"/>
      <w:szCs w:val="20"/>
    </w:rPr>
  </w:style>
  <w:style w:type="character" w:styleId="FootnoteReference">
    <w:name w:val="footnote reference"/>
    <w:basedOn w:val="DefaultParagraphFont"/>
    <w:uiPriority w:val="99"/>
    <w:semiHidden/>
    <w:unhideWhenUsed/>
    <w:rsid w:val="00B91EC3"/>
    <w:rPr>
      <w:vertAlign w:val="superscript"/>
    </w:rPr>
  </w:style>
  <w:style w:type="paragraph" w:styleId="ListParagraph">
    <w:name w:val="List Paragraph"/>
    <w:basedOn w:val="Normal"/>
    <w:uiPriority w:val="34"/>
    <w:qFormat/>
    <w:rsid w:val="00F6052D"/>
    <w:pPr>
      <w:ind w:left="720"/>
      <w:contextualSpacing/>
    </w:pPr>
  </w:style>
  <w:style w:type="paragraph" w:styleId="Header">
    <w:name w:val="header"/>
    <w:basedOn w:val="Normal"/>
    <w:link w:val="HeaderChar"/>
    <w:uiPriority w:val="99"/>
    <w:unhideWhenUsed/>
    <w:rsid w:val="007B6F88"/>
    <w:pPr>
      <w:tabs>
        <w:tab w:val="center" w:pos="4680"/>
        <w:tab w:val="right" w:pos="9360"/>
      </w:tabs>
    </w:pPr>
  </w:style>
  <w:style w:type="character" w:customStyle="1" w:styleId="HeaderChar">
    <w:name w:val="Header Char"/>
    <w:basedOn w:val="DefaultParagraphFont"/>
    <w:link w:val="Header"/>
    <w:uiPriority w:val="99"/>
    <w:rsid w:val="007B6F88"/>
    <w:rPr>
      <w:sz w:val="22"/>
      <w:szCs w:val="22"/>
    </w:rPr>
  </w:style>
  <w:style w:type="paragraph" w:styleId="Footer">
    <w:name w:val="footer"/>
    <w:basedOn w:val="Normal"/>
    <w:link w:val="FooterChar"/>
    <w:uiPriority w:val="99"/>
    <w:unhideWhenUsed/>
    <w:rsid w:val="007B6F88"/>
    <w:pPr>
      <w:tabs>
        <w:tab w:val="center" w:pos="4680"/>
        <w:tab w:val="right" w:pos="9360"/>
      </w:tabs>
    </w:pPr>
  </w:style>
  <w:style w:type="character" w:customStyle="1" w:styleId="FooterChar">
    <w:name w:val="Footer Char"/>
    <w:basedOn w:val="DefaultParagraphFont"/>
    <w:link w:val="Footer"/>
    <w:uiPriority w:val="99"/>
    <w:rsid w:val="007B6F88"/>
    <w:rPr>
      <w:sz w:val="22"/>
      <w:szCs w:val="22"/>
    </w:rPr>
  </w:style>
  <w:style w:type="character" w:styleId="PageNumber">
    <w:name w:val="page number"/>
    <w:basedOn w:val="DefaultParagraphFont"/>
    <w:uiPriority w:val="99"/>
    <w:semiHidden/>
    <w:unhideWhenUsed/>
    <w:rsid w:val="007B6F88"/>
  </w:style>
  <w:style w:type="paragraph" w:styleId="EndnoteText">
    <w:name w:val="endnote text"/>
    <w:basedOn w:val="Normal"/>
    <w:link w:val="EndnoteTextChar"/>
    <w:uiPriority w:val="99"/>
    <w:unhideWhenUsed/>
    <w:rsid w:val="00942D0F"/>
    <w:rPr>
      <w:sz w:val="20"/>
      <w:szCs w:val="20"/>
    </w:rPr>
  </w:style>
  <w:style w:type="character" w:customStyle="1" w:styleId="EndnoteTextChar">
    <w:name w:val="Endnote Text Char"/>
    <w:basedOn w:val="DefaultParagraphFont"/>
    <w:link w:val="EndnoteText"/>
    <w:uiPriority w:val="99"/>
    <w:rsid w:val="00942D0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42D0F"/>
    <w:rPr>
      <w:vertAlign w:val="superscript"/>
    </w:rPr>
  </w:style>
  <w:style w:type="character" w:customStyle="1" w:styleId="num">
    <w:name w:val="num"/>
    <w:basedOn w:val="DefaultParagraphFont"/>
    <w:rsid w:val="00CA0C5D"/>
  </w:style>
  <w:style w:type="character" w:customStyle="1" w:styleId="chapeau">
    <w:name w:val="chapeau"/>
    <w:basedOn w:val="DefaultParagraphFont"/>
    <w:rsid w:val="00CA0C5D"/>
  </w:style>
  <w:style w:type="paragraph" w:styleId="Revision">
    <w:name w:val="Revision"/>
    <w:hidden/>
    <w:uiPriority w:val="99"/>
    <w:semiHidden/>
    <w:rsid w:val="009A26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971">
      <w:bodyDiv w:val="1"/>
      <w:marLeft w:val="0"/>
      <w:marRight w:val="0"/>
      <w:marTop w:val="0"/>
      <w:marBottom w:val="0"/>
      <w:divBdr>
        <w:top w:val="none" w:sz="0" w:space="0" w:color="auto"/>
        <w:left w:val="none" w:sz="0" w:space="0" w:color="auto"/>
        <w:bottom w:val="none" w:sz="0" w:space="0" w:color="auto"/>
        <w:right w:val="none" w:sz="0" w:space="0" w:color="auto"/>
      </w:divBdr>
      <w:divsChild>
        <w:div w:id="1752194171">
          <w:marLeft w:val="0"/>
          <w:marRight w:val="0"/>
          <w:marTop w:val="0"/>
          <w:marBottom w:val="0"/>
          <w:divBdr>
            <w:top w:val="none" w:sz="0" w:space="0" w:color="auto"/>
            <w:left w:val="none" w:sz="0" w:space="0" w:color="auto"/>
            <w:bottom w:val="none" w:sz="0" w:space="0" w:color="auto"/>
            <w:right w:val="none" w:sz="0" w:space="0" w:color="auto"/>
          </w:divBdr>
          <w:divsChild>
            <w:div w:id="712732816">
              <w:marLeft w:val="0"/>
              <w:marRight w:val="0"/>
              <w:marTop w:val="0"/>
              <w:marBottom w:val="0"/>
              <w:divBdr>
                <w:top w:val="none" w:sz="0" w:space="0" w:color="auto"/>
                <w:left w:val="none" w:sz="0" w:space="0" w:color="auto"/>
                <w:bottom w:val="none" w:sz="0" w:space="0" w:color="auto"/>
                <w:right w:val="none" w:sz="0" w:space="0" w:color="auto"/>
              </w:divBdr>
              <w:divsChild>
                <w:div w:id="10145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323">
      <w:bodyDiv w:val="1"/>
      <w:marLeft w:val="0"/>
      <w:marRight w:val="0"/>
      <w:marTop w:val="0"/>
      <w:marBottom w:val="0"/>
      <w:divBdr>
        <w:top w:val="none" w:sz="0" w:space="0" w:color="auto"/>
        <w:left w:val="none" w:sz="0" w:space="0" w:color="auto"/>
        <w:bottom w:val="none" w:sz="0" w:space="0" w:color="auto"/>
        <w:right w:val="none" w:sz="0" w:space="0" w:color="auto"/>
      </w:divBdr>
      <w:divsChild>
        <w:div w:id="1856647762">
          <w:marLeft w:val="0"/>
          <w:marRight w:val="0"/>
          <w:marTop w:val="0"/>
          <w:marBottom w:val="0"/>
          <w:divBdr>
            <w:top w:val="none" w:sz="0" w:space="0" w:color="auto"/>
            <w:left w:val="none" w:sz="0" w:space="0" w:color="auto"/>
            <w:bottom w:val="none" w:sz="0" w:space="0" w:color="auto"/>
            <w:right w:val="none" w:sz="0" w:space="0" w:color="auto"/>
          </w:divBdr>
        </w:div>
      </w:divsChild>
    </w:div>
    <w:div w:id="84155135">
      <w:bodyDiv w:val="1"/>
      <w:marLeft w:val="0"/>
      <w:marRight w:val="0"/>
      <w:marTop w:val="0"/>
      <w:marBottom w:val="0"/>
      <w:divBdr>
        <w:top w:val="none" w:sz="0" w:space="0" w:color="auto"/>
        <w:left w:val="none" w:sz="0" w:space="0" w:color="auto"/>
        <w:bottom w:val="none" w:sz="0" w:space="0" w:color="auto"/>
        <w:right w:val="none" w:sz="0" w:space="0" w:color="auto"/>
      </w:divBdr>
      <w:divsChild>
        <w:div w:id="1411000823">
          <w:marLeft w:val="0"/>
          <w:marRight w:val="0"/>
          <w:marTop w:val="0"/>
          <w:marBottom w:val="0"/>
          <w:divBdr>
            <w:top w:val="none" w:sz="0" w:space="0" w:color="auto"/>
            <w:left w:val="none" w:sz="0" w:space="0" w:color="auto"/>
            <w:bottom w:val="none" w:sz="0" w:space="0" w:color="auto"/>
            <w:right w:val="none" w:sz="0" w:space="0" w:color="auto"/>
          </w:divBdr>
          <w:divsChild>
            <w:div w:id="1437600767">
              <w:marLeft w:val="0"/>
              <w:marRight w:val="0"/>
              <w:marTop w:val="0"/>
              <w:marBottom w:val="0"/>
              <w:divBdr>
                <w:top w:val="none" w:sz="0" w:space="0" w:color="auto"/>
                <w:left w:val="none" w:sz="0" w:space="0" w:color="auto"/>
                <w:bottom w:val="none" w:sz="0" w:space="0" w:color="auto"/>
                <w:right w:val="none" w:sz="0" w:space="0" w:color="auto"/>
              </w:divBdr>
              <w:divsChild>
                <w:div w:id="13957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5367">
      <w:bodyDiv w:val="1"/>
      <w:marLeft w:val="0"/>
      <w:marRight w:val="0"/>
      <w:marTop w:val="0"/>
      <w:marBottom w:val="0"/>
      <w:divBdr>
        <w:top w:val="none" w:sz="0" w:space="0" w:color="auto"/>
        <w:left w:val="none" w:sz="0" w:space="0" w:color="auto"/>
        <w:bottom w:val="none" w:sz="0" w:space="0" w:color="auto"/>
        <w:right w:val="none" w:sz="0" w:space="0" w:color="auto"/>
      </w:divBdr>
      <w:divsChild>
        <w:div w:id="276369923">
          <w:marLeft w:val="0"/>
          <w:marRight w:val="0"/>
          <w:marTop w:val="0"/>
          <w:marBottom w:val="0"/>
          <w:divBdr>
            <w:top w:val="none" w:sz="0" w:space="0" w:color="auto"/>
            <w:left w:val="none" w:sz="0" w:space="0" w:color="auto"/>
            <w:bottom w:val="none" w:sz="0" w:space="0" w:color="auto"/>
            <w:right w:val="none" w:sz="0" w:space="0" w:color="auto"/>
          </w:divBdr>
          <w:divsChild>
            <w:div w:id="1786845286">
              <w:marLeft w:val="0"/>
              <w:marRight w:val="0"/>
              <w:marTop w:val="0"/>
              <w:marBottom w:val="0"/>
              <w:divBdr>
                <w:top w:val="none" w:sz="0" w:space="0" w:color="auto"/>
                <w:left w:val="none" w:sz="0" w:space="0" w:color="auto"/>
                <w:bottom w:val="none" w:sz="0" w:space="0" w:color="auto"/>
                <w:right w:val="none" w:sz="0" w:space="0" w:color="auto"/>
              </w:divBdr>
              <w:divsChild>
                <w:div w:id="950169841">
                  <w:marLeft w:val="0"/>
                  <w:marRight w:val="0"/>
                  <w:marTop w:val="0"/>
                  <w:marBottom w:val="0"/>
                  <w:divBdr>
                    <w:top w:val="none" w:sz="0" w:space="0" w:color="auto"/>
                    <w:left w:val="none" w:sz="0" w:space="0" w:color="auto"/>
                    <w:bottom w:val="none" w:sz="0" w:space="0" w:color="auto"/>
                    <w:right w:val="none" w:sz="0" w:space="0" w:color="auto"/>
                  </w:divBdr>
                  <w:divsChild>
                    <w:div w:id="18213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8801">
      <w:bodyDiv w:val="1"/>
      <w:marLeft w:val="0"/>
      <w:marRight w:val="0"/>
      <w:marTop w:val="0"/>
      <w:marBottom w:val="0"/>
      <w:divBdr>
        <w:top w:val="none" w:sz="0" w:space="0" w:color="auto"/>
        <w:left w:val="none" w:sz="0" w:space="0" w:color="auto"/>
        <w:bottom w:val="none" w:sz="0" w:space="0" w:color="auto"/>
        <w:right w:val="none" w:sz="0" w:space="0" w:color="auto"/>
      </w:divBdr>
    </w:div>
    <w:div w:id="123548559">
      <w:bodyDiv w:val="1"/>
      <w:marLeft w:val="0"/>
      <w:marRight w:val="0"/>
      <w:marTop w:val="0"/>
      <w:marBottom w:val="0"/>
      <w:divBdr>
        <w:top w:val="none" w:sz="0" w:space="0" w:color="auto"/>
        <w:left w:val="none" w:sz="0" w:space="0" w:color="auto"/>
        <w:bottom w:val="none" w:sz="0" w:space="0" w:color="auto"/>
        <w:right w:val="none" w:sz="0" w:space="0" w:color="auto"/>
      </w:divBdr>
    </w:div>
    <w:div w:id="192034117">
      <w:bodyDiv w:val="1"/>
      <w:marLeft w:val="0"/>
      <w:marRight w:val="0"/>
      <w:marTop w:val="0"/>
      <w:marBottom w:val="0"/>
      <w:divBdr>
        <w:top w:val="none" w:sz="0" w:space="0" w:color="auto"/>
        <w:left w:val="none" w:sz="0" w:space="0" w:color="auto"/>
        <w:bottom w:val="none" w:sz="0" w:space="0" w:color="auto"/>
        <w:right w:val="none" w:sz="0" w:space="0" w:color="auto"/>
      </w:divBdr>
    </w:div>
    <w:div w:id="201553106">
      <w:bodyDiv w:val="1"/>
      <w:marLeft w:val="0"/>
      <w:marRight w:val="0"/>
      <w:marTop w:val="0"/>
      <w:marBottom w:val="0"/>
      <w:divBdr>
        <w:top w:val="none" w:sz="0" w:space="0" w:color="auto"/>
        <w:left w:val="none" w:sz="0" w:space="0" w:color="auto"/>
        <w:bottom w:val="none" w:sz="0" w:space="0" w:color="auto"/>
        <w:right w:val="none" w:sz="0" w:space="0" w:color="auto"/>
      </w:divBdr>
    </w:div>
    <w:div w:id="241840271">
      <w:bodyDiv w:val="1"/>
      <w:marLeft w:val="0"/>
      <w:marRight w:val="0"/>
      <w:marTop w:val="0"/>
      <w:marBottom w:val="0"/>
      <w:divBdr>
        <w:top w:val="none" w:sz="0" w:space="0" w:color="auto"/>
        <w:left w:val="none" w:sz="0" w:space="0" w:color="auto"/>
        <w:bottom w:val="none" w:sz="0" w:space="0" w:color="auto"/>
        <w:right w:val="none" w:sz="0" w:space="0" w:color="auto"/>
      </w:divBdr>
      <w:divsChild>
        <w:div w:id="1115440907">
          <w:marLeft w:val="0"/>
          <w:marRight w:val="0"/>
          <w:marTop w:val="0"/>
          <w:marBottom w:val="0"/>
          <w:divBdr>
            <w:top w:val="none" w:sz="0" w:space="0" w:color="auto"/>
            <w:left w:val="none" w:sz="0" w:space="0" w:color="auto"/>
            <w:bottom w:val="none" w:sz="0" w:space="0" w:color="auto"/>
            <w:right w:val="none" w:sz="0" w:space="0" w:color="auto"/>
          </w:divBdr>
          <w:divsChild>
            <w:div w:id="1969512363">
              <w:marLeft w:val="0"/>
              <w:marRight w:val="0"/>
              <w:marTop w:val="0"/>
              <w:marBottom w:val="0"/>
              <w:divBdr>
                <w:top w:val="none" w:sz="0" w:space="0" w:color="auto"/>
                <w:left w:val="none" w:sz="0" w:space="0" w:color="auto"/>
                <w:bottom w:val="none" w:sz="0" w:space="0" w:color="auto"/>
                <w:right w:val="none" w:sz="0" w:space="0" w:color="auto"/>
              </w:divBdr>
              <w:divsChild>
                <w:div w:id="7123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9778">
      <w:bodyDiv w:val="1"/>
      <w:marLeft w:val="0"/>
      <w:marRight w:val="0"/>
      <w:marTop w:val="0"/>
      <w:marBottom w:val="0"/>
      <w:divBdr>
        <w:top w:val="none" w:sz="0" w:space="0" w:color="auto"/>
        <w:left w:val="none" w:sz="0" w:space="0" w:color="auto"/>
        <w:bottom w:val="none" w:sz="0" w:space="0" w:color="auto"/>
        <w:right w:val="none" w:sz="0" w:space="0" w:color="auto"/>
      </w:divBdr>
      <w:divsChild>
        <w:div w:id="2060544858">
          <w:marLeft w:val="0"/>
          <w:marRight w:val="0"/>
          <w:marTop w:val="0"/>
          <w:marBottom w:val="0"/>
          <w:divBdr>
            <w:top w:val="none" w:sz="0" w:space="0" w:color="auto"/>
            <w:left w:val="none" w:sz="0" w:space="0" w:color="auto"/>
            <w:bottom w:val="none" w:sz="0" w:space="0" w:color="auto"/>
            <w:right w:val="none" w:sz="0" w:space="0" w:color="auto"/>
          </w:divBdr>
          <w:divsChild>
            <w:div w:id="1828201754">
              <w:marLeft w:val="0"/>
              <w:marRight w:val="0"/>
              <w:marTop w:val="0"/>
              <w:marBottom w:val="0"/>
              <w:divBdr>
                <w:top w:val="none" w:sz="0" w:space="0" w:color="auto"/>
                <w:left w:val="none" w:sz="0" w:space="0" w:color="auto"/>
                <w:bottom w:val="none" w:sz="0" w:space="0" w:color="auto"/>
                <w:right w:val="none" w:sz="0" w:space="0" w:color="auto"/>
              </w:divBdr>
              <w:divsChild>
                <w:div w:id="13376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97472">
      <w:bodyDiv w:val="1"/>
      <w:marLeft w:val="0"/>
      <w:marRight w:val="0"/>
      <w:marTop w:val="0"/>
      <w:marBottom w:val="0"/>
      <w:divBdr>
        <w:top w:val="none" w:sz="0" w:space="0" w:color="auto"/>
        <w:left w:val="none" w:sz="0" w:space="0" w:color="auto"/>
        <w:bottom w:val="none" w:sz="0" w:space="0" w:color="auto"/>
        <w:right w:val="none" w:sz="0" w:space="0" w:color="auto"/>
      </w:divBdr>
      <w:divsChild>
        <w:div w:id="1950382586">
          <w:marLeft w:val="0"/>
          <w:marRight w:val="0"/>
          <w:marTop w:val="0"/>
          <w:marBottom w:val="0"/>
          <w:divBdr>
            <w:top w:val="none" w:sz="0" w:space="0" w:color="auto"/>
            <w:left w:val="none" w:sz="0" w:space="0" w:color="auto"/>
            <w:bottom w:val="none" w:sz="0" w:space="0" w:color="auto"/>
            <w:right w:val="none" w:sz="0" w:space="0" w:color="auto"/>
          </w:divBdr>
          <w:divsChild>
            <w:div w:id="1854950301">
              <w:marLeft w:val="0"/>
              <w:marRight w:val="0"/>
              <w:marTop w:val="0"/>
              <w:marBottom w:val="0"/>
              <w:divBdr>
                <w:top w:val="none" w:sz="0" w:space="0" w:color="auto"/>
                <w:left w:val="none" w:sz="0" w:space="0" w:color="auto"/>
                <w:bottom w:val="none" w:sz="0" w:space="0" w:color="auto"/>
                <w:right w:val="none" w:sz="0" w:space="0" w:color="auto"/>
              </w:divBdr>
              <w:divsChild>
                <w:div w:id="69275562">
                  <w:marLeft w:val="0"/>
                  <w:marRight w:val="0"/>
                  <w:marTop w:val="0"/>
                  <w:marBottom w:val="0"/>
                  <w:divBdr>
                    <w:top w:val="none" w:sz="0" w:space="0" w:color="auto"/>
                    <w:left w:val="none" w:sz="0" w:space="0" w:color="auto"/>
                    <w:bottom w:val="none" w:sz="0" w:space="0" w:color="auto"/>
                    <w:right w:val="none" w:sz="0" w:space="0" w:color="auto"/>
                  </w:divBdr>
                  <w:divsChild>
                    <w:div w:id="20162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49384">
      <w:bodyDiv w:val="1"/>
      <w:marLeft w:val="0"/>
      <w:marRight w:val="0"/>
      <w:marTop w:val="0"/>
      <w:marBottom w:val="0"/>
      <w:divBdr>
        <w:top w:val="none" w:sz="0" w:space="0" w:color="auto"/>
        <w:left w:val="none" w:sz="0" w:space="0" w:color="auto"/>
        <w:bottom w:val="none" w:sz="0" w:space="0" w:color="auto"/>
        <w:right w:val="none" w:sz="0" w:space="0" w:color="auto"/>
      </w:divBdr>
    </w:div>
    <w:div w:id="434254752">
      <w:bodyDiv w:val="1"/>
      <w:marLeft w:val="0"/>
      <w:marRight w:val="0"/>
      <w:marTop w:val="0"/>
      <w:marBottom w:val="0"/>
      <w:divBdr>
        <w:top w:val="none" w:sz="0" w:space="0" w:color="auto"/>
        <w:left w:val="none" w:sz="0" w:space="0" w:color="auto"/>
        <w:bottom w:val="none" w:sz="0" w:space="0" w:color="auto"/>
        <w:right w:val="none" w:sz="0" w:space="0" w:color="auto"/>
      </w:divBdr>
      <w:divsChild>
        <w:div w:id="1945334726">
          <w:marLeft w:val="0"/>
          <w:marRight w:val="0"/>
          <w:marTop w:val="0"/>
          <w:marBottom w:val="0"/>
          <w:divBdr>
            <w:top w:val="none" w:sz="0" w:space="0" w:color="auto"/>
            <w:left w:val="none" w:sz="0" w:space="0" w:color="auto"/>
            <w:bottom w:val="none" w:sz="0" w:space="0" w:color="auto"/>
            <w:right w:val="none" w:sz="0" w:space="0" w:color="auto"/>
          </w:divBdr>
        </w:div>
      </w:divsChild>
    </w:div>
    <w:div w:id="448817766">
      <w:bodyDiv w:val="1"/>
      <w:marLeft w:val="0"/>
      <w:marRight w:val="0"/>
      <w:marTop w:val="0"/>
      <w:marBottom w:val="0"/>
      <w:divBdr>
        <w:top w:val="none" w:sz="0" w:space="0" w:color="auto"/>
        <w:left w:val="none" w:sz="0" w:space="0" w:color="auto"/>
        <w:bottom w:val="none" w:sz="0" w:space="0" w:color="auto"/>
        <w:right w:val="none" w:sz="0" w:space="0" w:color="auto"/>
      </w:divBdr>
      <w:divsChild>
        <w:div w:id="193809808">
          <w:marLeft w:val="0"/>
          <w:marRight w:val="0"/>
          <w:marTop w:val="0"/>
          <w:marBottom w:val="0"/>
          <w:divBdr>
            <w:top w:val="none" w:sz="0" w:space="0" w:color="auto"/>
            <w:left w:val="none" w:sz="0" w:space="0" w:color="auto"/>
            <w:bottom w:val="none" w:sz="0" w:space="0" w:color="auto"/>
            <w:right w:val="none" w:sz="0" w:space="0" w:color="auto"/>
          </w:divBdr>
        </w:div>
      </w:divsChild>
    </w:div>
    <w:div w:id="513612567">
      <w:bodyDiv w:val="1"/>
      <w:marLeft w:val="0"/>
      <w:marRight w:val="0"/>
      <w:marTop w:val="0"/>
      <w:marBottom w:val="0"/>
      <w:divBdr>
        <w:top w:val="none" w:sz="0" w:space="0" w:color="auto"/>
        <w:left w:val="none" w:sz="0" w:space="0" w:color="auto"/>
        <w:bottom w:val="none" w:sz="0" w:space="0" w:color="auto"/>
        <w:right w:val="none" w:sz="0" w:space="0" w:color="auto"/>
      </w:divBdr>
      <w:divsChild>
        <w:div w:id="1307662596">
          <w:marLeft w:val="0"/>
          <w:marRight w:val="0"/>
          <w:marTop w:val="0"/>
          <w:marBottom w:val="0"/>
          <w:divBdr>
            <w:top w:val="none" w:sz="0" w:space="0" w:color="auto"/>
            <w:left w:val="none" w:sz="0" w:space="0" w:color="auto"/>
            <w:bottom w:val="none" w:sz="0" w:space="0" w:color="auto"/>
            <w:right w:val="none" w:sz="0" w:space="0" w:color="auto"/>
          </w:divBdr>
          <w:divsChild>
            <w:div w:id="1719547523">
              <w:marLeft w:val="0"/>
              <w:marRight w:val="0"/>
              <w:marTop w:val="0"/>
              <w:marBottom w:val="0"/>
              <w:divBdr>
                <w:top w:val="none" w:sz="0" w:space="0" w:color="auto"/>
                <w:left w:val="none" w:sz="0" w:space="0" w:color="auto"/>
                <w:bottom w:val="none" w:sz="0" w:space="0" w:color="auto"/>
                <w:right w:val="none" w:sz="0" w:space="0" w:color="auto"/>
              </w:divBdr>
              <w:divsChild>
                <w:div w:id="1902864964">
                  <w:marLeft w:val="0"/>
                  <w:marRight w:val="0"/>
                  <w:marTop w:val="0"/>
                  <w:marBottom w:val="0"/>
                  <w:divBdr>
                    <w:top w:val="none" w:sz="0" w:space="0" w:color="auto"/>
                    <w:left w:val="none" w:sz="0" w:space="0" w:color="auto"/>
                    <w:bottom w:val="none" w:sz="0" w:space="0" w:color="auto"/>
                    <w:right w:val="none" w:sz="0" w:space="0" w:color="auto"/>
                  </w:divBdr>
                  <w:divsChild>
                    <w:div w:id="473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3553">
      <w:bodyDiv w:val="1"/>
      <w:marLeft w:val="0"/>
      <w:marRight w:val="0"/>
      <w:marTop w:val="0"/>
      <w:marBottom w:val="0"/>
      <w:divBdr>
        <w:top w:val="none" w:sz="0" w:space="0" w:color="auto"/>
        <w:left w:val="none" w:sz="0" w:space="0" w:color="auto"/>
        <w:bottom w:val="none" w:sz="0" w:space="0" w:color="auto"/>
        <w:right w:val="none" w:sz="0" w:space="0" w:color="auto"/>
      </w:divBdr>
      <w:divsChild>
        <w:div w:id="427967263">
          <w:marLeft w:val="0"/>
          <w:marRight w:val="0"/>
          <w:marTop w:val="0"/>
          <w:marBottom w:val="0"/>
          <w:divBdr>
            <w:top w:val="none" w:sz="0" w:space="0" w:color="auto"/>
            <w:left w:val="none" w:sz="0" w:space="0" w:color="auto"/>
            <w:bottom w:val="none" w:sz="0" w:space="0" w:color="auto"/>
            <w:right w:val="none" w:sz="0" w:space="0" w:color="auto"/>
          </w:divBdr>
          <w:divsChild>
            <w:div w:id="453720219">
              <w:marLeft w:val="0"/>
              <w:marRight w:val="0"/>
              <w:marTop w:val="0"/>
              <w:marBottom w:val="0"/>
              <w:divBdr>
                <w:top w:val="none" w:sz="0" w:space="0" w:color="auto"/>
                <w:left w:val="none" w:sz="0" w:space="0" w:color="auto"/>
                <w:bottom w:val="none" w:sz="0" w:space="0" w:color="auto"/>
                <w:right w:val="none" w:sz="0" w:space="0" w:color="auto"/>
              </w:divBdr>
              <w:divsChild>
                <w:div w:id="8088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1142">
      <w:bodyDiv w:val="1"/>
      <w:marLeft w:val="0"/>
      <w:marRight w:val="0"/>
      <w:marTop w:val="0"/>
      <w:marBottom w:val="0"/>
      <w:divBdr>
        <w:top w:val="none" w:sz="0" w:space="0" w:color="auto"/>
        <w:left w:val="none" w:sz="0" w:space="0" w:color="auto"/>
        <w:bottom w:val="none" w:sz="0" w:space="0" w:color="auto"/>
        <w:right w:val="none" w:sz="0" w:space="0" w:color="auto"/>
      </w:divBdr>
      <w:divsChild>
        <w:div w:id="1994024117">
          <w:marLeft w:val="0"/>
          <w:marRight w:val="0"/>
          <w:marTop w:val="0"/>
          <w:marBottom w:val="0"/>
          <w:divBdr>
            <w:top w:val="none" w:sz="0" w:space="0" w:color="auto"/>
            <w:left w:val="none" w:sz="0" w:space="0" w:color="auto"/>
            <w:bottom w:val="none" w:sz="0" w:space="0" w:color="auto"/>
            <w:right w:val="none" w:sz="0" w:space="0" w:color="auto"/>
          </w:divBdr>
          <w:divsChild>
            <w:div w:id="30961965">
              <w:marLeft w:val="0"/>
              <w:marRight w:val="0"/>
              <w:marTop w:val="0"/>
              <w:marBottom w:val="0"/>
              <w:divBdr>
                <w:top w:val="none" w:sz="0" w:space="0" w:color="auto"/>
                <w:left w:val="none" w:sz="0" w:space="0" w:color="auto"/>
                <w:bottom w:val="none" w:sz="0" w:space="0" w:color="auto"/>
                <w:right w:val="none" w:sz="0" w:space="0" w:color="auto"/>
              </w:divBdr>
              <w:divsChild>
                <w:div w:id="2090299473">
                  <w:marLeft w:val="0"/>
                  <w:marRight w:val="0"/>
                  <w:marTop w:val="0"/>
                  <w:marBottom w:val="0"/>
                  <w:divBdr>
                    <w:top w:val="none" w:sz="0" w:space="0" w:color="auto"/>
                    <w:left w:val="none" w:sz="0" w:space="0" w:color="auto"/>
                    <w:bottom w:val="none" w:sz="0" w:space="0" w:color="auto"/>
                    <w:right w:val="none" w:sz="0" w:space="0" w:color="auto"/>
                  </w:divBdr>
                  <w:divsChild>
                    <w:div w:id="10972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24011">
      <w:bodyDiv w:val="1"/>
      <w:marLeft w:val="0"/>
      <w:marRight w:val="0"/>
      <w:marTop w:val="0"/>
      <w:marBottom w:val="0"/>
      <w:divBdr>
        <w:top w:val="none" w:sz="0" w:space="0" w:color="auto"/>
        <w:left w:val="none" w:sz="0" w:space="0" w:color="auto"/>
        <w:bottom w:val="none" w:sz="0" w:space="0" w:color="auto"/>
        <w:right w:val="none" w:sz="0" w:space="0" w:color="auto"/>
      </w:divBdr>
    </w:div>
    <w:div w:id="652489758">
      <w:bodyDiv w:val="1"/>
      <w:marLeft w:val="0"/>
      <w:marRight w:val="0"/>
      <w:marTop w:val="0"/>
      <w:marBottom w:val="0"/>
      <w:divBdr>
        <w:top w:val="none" w:sz="0" w:space="0" w:color="auto"/>
        <w:left w:val="none" w:sz="0" w:space="0" w:color="auto"/>
        <w:bottom w:val="none" w:sz="0" w:space="0" w:color="auto"/>
        <w:right w:val="none" w:sz="0" w:space="0" w:color="auto"/>
      </w:divBdr>
      <w:divsChild>
        <w:div w:id="1326476867">
          <w:marLeft w:val="0"/>
          <w:marRight w:val="0"/>
          <w:marTop w:val="0"/>
          <w:marBottom w:val="0"/>
          <w:divBdr>
            <w:top w:val="none" w:sz="0" w:space="0" w:color="auto"/>
            <w:left w:val="none" w:sz="0" w:space="0" w:color="auto"/>
            <w:bottom w:val="none" w:sz="0" w:space="0" w:color="auto"/>
            <w:right w:val="none" w:sz="0" w:space="0" w:color="auto"/>
          </w:divBdr>
          <w:divsChild>
            <w:div w:id="1667517841">
              <w:marLeft w:val="0"/>
              <w:marRight w:val="0"/>
              <w:marTop w:val="0"/>
              <w:marBottom w:val="0"/>
              <w:divBdr>
                <w:top w:val="none" w:sz="0" w:space="0" w:color="auto"/>
                <w:left w:val="none" w:sz="0" w:space="0" w:color="auto"/>
                <w:bottom w:val="none" w:sz="0" w:space="0" w:color="auto"/>
                <w:right w:val="none" w:sz="0" w:space="0" w:color="auto"/>
              </w:divBdr>
              <w:divsChild>
                <w:div w:id="722557761">
                  <w:marLeft w:val="0"/>
                  <w:marRight w:val="0"/>
                  <w:marTop w:val="0"/>
                  <w:marBottom w:val="0"/>
                  <w:divBdr>
                    <w:top w:val="none" w:sz="0" w:space="0" w:color="auto"/>
                    <w:left w:val="none" w:sz="0" w:space="0" w:color="auto"/>
                    <w:bottom w:val="none" w:sz="0" w:space="0" w:color="auto"/>
                    <w:right w:val="none" w:sz="0" w:space="0" w:color="auto"/>
                  </w:divBdr>
                  <w:divsChild>
                    <w:div w:id="20833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2763">
      <w:bodyDiv w:val="1"/>
      <w:marLeft w:val="0"/>
      <w:marRight w:val="0"/>
      <w:marTop w:val="0"/>
      <w:marBottom w:val="0"/>
      <w:divBdr>
        <w:top w:val="none" w:sz="0" w:space="0" w:color="auto"/>
        <w:left w:val="none" w:sz="0" w:space="0" w:color="auto"/>
        <w:bottom w:val="none" w:sz="0" w:space="0" w:color="auto"/>
        <w:right w:val="none" w:sz="0" w:space="0" w:color="auto"/>
      </w:divBdr>
    </w:div>
    <w:div w:id="792597199">
      <w:bodyDiv w:val="1"/>
      <w:marLeft w:val="0"/>
      <w:marRight w:val="0"/>
      <w:marTop w:val="0"/>
      <w:marBottom w:val="0"/>
      <w:divBdr>
        <w:top w:val="none" w:sz="0" w:space="0" w:color="auto"/>
        <w:left w:val="none" w:sz="0" w:space="0" w:color="auto"/>
        <w:bottom w:val="none" w:sz="0" w:space="0" w:color="auto"/>
        <w:right w:val="none" w:sz="0" w:space="0" w:color="auto"/>
      </w:divBdr>
      <w:divsChild>
        <w:div w:id="1053969161">
          <w:marLeft w:val="0"/>
          <w:marRight w:val="0"/>
          <w:marTop w:val="0"/>
          <w:marBottom w:val="0"/>
          <w:divBdr>
            <w:top w:val="none" w:sz="0" w:space="0" w:color="auto"/>
            <w:left w:val="none" w:sz="0" w:space="0" w:color="auto"/>
            <w:bottom w:val="none" w:sz="0" w:space="0" w:color="auto"/>
            <w:right w:val="none" w:sz="0" w:space="0" w:color="auto"/>
          </w:divBdr>
        </w:div>
      </w:divsChild>
    </w:div>
    <w:div w:id="855848063">
      <w:bodyDiv w:val="1"/>
      <w:marLeft w:val="0"/>
      <w:marRight w:val="0"/>
      <w:marTop w:val="0"/>
      <w:marBottom w:val="0"/>
      <w:divBdr>
        <w:top w:val="none" w:sz="0" w:space="0" w:color="auto"/>
        <w:left w:val="none" w:sz="0" w:space="0" w:color="auto"/>
        <w:bottom w:val="none" w:sz="0" w:space="0" w:color="auto"/>
        <w:right w:val="none" w:sz="0" w:space="0" w:color="auto"/>
      </w:divBdr>
      <w:divsChild>
        <w:div w:id="1804302065">
          <w:marLeft w:val="0"/>
          <w:marRight w:val="0"/>
          <w:marTop w:val="0"/>
          <w:marBottom w:val="0"/>
          <w:divBdr>
            <w:top w:val="none" w:sz="0" w:space="0" w:color="auto"/>
            <w:left w:val="none" w:sz="0" w:space="0" w:color="auto"/>
            <w:bottom w:val="none" w:sz="0" w:space="0" w:color="auto"/>
            <w:right w:val="none" w:sz="0" w:space="0" w:color="auto"/>
          </w:divBdr>
        </w:div>
      </w:divsChild>
    </w:div>
    <w:div w:id="881136830">
      <w:bodyDiv w:val="1"/>
      <w:marLeft w:val="0"/>
      <w:marRight w:val="0"/>
      <w:marTop w:val="0"/>
      <w:marBottom w:val="0"/>
      <w:divBdr>
        <w:top w:val="none" w:sz="0" w:space="0" w:color="auto"/>
        <w:left w:val="none" w:sz="0" w:space="0" w:color="auto"/>
        <w:bottom w:val="none" w:sz="0" w:space="0" w:color="auto"/>
        <w:right w:val="none" w:sz="0" w:space="0" w:color="auto"/>
      </w:divBdr>
      <w:divsChild>
        <w:div w:id="586036352">
          <w:marLeft w:val="0"/>
          <w:marRight w:val="0"/>
          <w:marTop w:val="0"/>
          <w:marBottom w:val="0"/>
          <w:divBdr>
            <w:top w:val="none" w:sz="0" w:space="0" w:color="auto"/>
            <w:left w:val="none" w:sz="0" w:space="0" w:color="auto"/>
            <w:bottom w:val="none" w:sz="0" w:space="0" w:color="auto"/>
            <w:right w:val="none" w:sz="0" w:space="0" w:color="auto"/>
          </w:divBdr>
          <w:divsChild>
            <w:div w:id="637498350">
              <w:marLeft w:val="0"/>
              <w:marRight w:val="0"/>
              <w:marTop w:val="0"/>
              <w:marBottom w:val="0"/>
              <w:divBdr>
                <w:top w:val="none" w:sz="0" w:space="0" w:color="auto"/>
                <w:left w:val="none" w:sz="0" w:space="0" w:color="auto"/>
                <w:bottom w:val="none" w:sz="0" w:space="0" w:color="auto"/>
                <w:right w:val="none" w:sz="0" w:space="0" w:color="auto"/>
              </w:divBdr>
              <w:divsChild>
                <w:div w:id="676463190">
                  <w:marLeft w:val="0"/>
                  <w:marRight w:val="0"/>
                  <w:marTop w:val="0"/>
                  <w:marBottom w:val="0"/>
                  <w:divBdr>
                    <w:top w:val="none" w:sz="0" w:space="0" w:color="auto"/>
                    <w:left w:val="none" w:sz="0" w:space="0" w:color="auto"/>
                    <w:bottom w:val="none" w:sz="0" w:space="0" w:color="auto"/>
                    <w:right w:val="none" w:sz="0" w:space="0" w:color="auto"/>
                  </w:divBdr>
                  <w:divsChild>
                    <w:div w:id="13075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31171">
      <w:bodyDiv w:val="1"/>
      <w:marLeft w:val="0"/>
      <w:marRight w:val="0"/>
      <w:marTop w:val="0"/>
      <w:marBottom w:val="0"/>
      <w:divBdr>
        <w:top w:val="none" w:sz="0" w:space="0" w:color="auto"/>
        <w:left w:val="none" w:sz="0" w:space="0" w:color="auto"/>
        <w:bottom w:val="none" w:sz="0" w:space="0" w:color="auto"/>
        <w:right w:val="none" w:sz="0" w:space="0" w:color="auto"/>
      </w:divBdr>
      <w:divsChild>
        <w:div w:id="170337057">
          <w:marLeft w:val="0"/>
          <w:marRight w:val="0"/>
          <w:marTop w:val="0"/>
          <w:marBottom w:val="0"/>
          <w:divBdr>
            <w:top w:val="none" w:sz="0" w:space="0" w:color="auto"/>
            <w:left w:val="none" w:sz="0" w:space="0" w:color="auto"/>
            <w:bottom w:val="none" w:sz="0" w:space="0" w:color="auto"/>
            <w:right w:val="none" w:sz="0" w:space="0" w:color="auto"/>
          </w:divBdr>
        </w:div>
        <w:div w:id="1102384990">
          <w:marLeft w:val="0"/>
          <w:marRight w:val="0"/>
          <w:marTop w:val="0"/>
          <w:marBottom w:val="0"/>
          <w:divBdr>
            <w:top w:val="none" w:sz="0" w:space="0" w:color="auto"/>
            <w:left w:val="none" w:sz="0" w:space="0" w:color="auto"/>
            <w:bottom w:val="none" w:sz="0" w:space="0" w:color="auto"/>
            <w:right w:val="none" w:sz="0" w:space="0" w:color="auto"/>
          </w:divBdr>
        </w:div>
        <w:div w:id="65031524">
          <w:marLeft w:val="0"/>
          <w:marRight w:val="0"/>
          <w:marTop w:val="0"/>
          <w:marBottom w:val="0"/>
          <w:divBdr>
            <w:top w:val="none" w:sz="0" w:space="0" w:color="auto"/>
            <w:left w:val="none" w:sz="0" w:space="0" w:color="auto"/>
            <w:bottom w:val="none" w:sz="0" w:space="0" w:color="auto"/>
            <w:right w:val="none" w:sz="0" w:space="0" w:color="auto"/>
          </w:divBdr>
        </w:div>
        <w:div w:id="371809822">
          <w:marLeft w:val="0"/>
          <w:marRight w:val="0"/>
          <w:marTop w:val="0"/>
          <w:marBottom w:val="0"/>
          <w:divBdr>
            <w:top w:val="none" w:sz="0" w:space="0" w:color="auto"/>
            <w:left w:val="none" w:sz="0" w:space="0" w:color="auto"/>
            <w:bottom w:val="none" w:sz="0" w:space="0" w:color="auto"/>
            <w:right w:val="none" w:sz="0" w:space="0" w:color="auto"/>
          </w:divBdr>
        </w:div>
      </w:divsChild>
    </w:div>
    <w:div w:id="1010958625">
      <w:bodyDiv w:val="1"/>
      <w:marLeft w:val="0"/>
      <w:marRight w:val="0"/>
      <w:marTop w:val="0"/>
      <w:marBottom w:val="0"/>
      <w:divBdr>
        <w:top w:val="none" w:sz="0" w:space="0" w:color="auto"/>
        <w:left w:val="none" w:sz="0" w:space="0" w:color="auto"/>
        <w:bottom w:val="none" w:sz="0" w:space="0" w:color="auto"/>
        <w:right w:val="none" w:sz="0" w:space="0" w:color="auto"/>
      </w:divBdr>
      <w:divsChild>
        <w:div w:id="202182265">
          <w:marLeft w:val="0"/>
          <w:marRight w:val="0"/>
          <w:marTop w:val="0"/>
          <w:marBottom w:val="0"/>
          <w:divBdr>
            <w:top w:val="none" w:sz="0" w:space="0" w:color="auto"/>
            <w:left w:val="none" w:sz="0" w:space="0" w:color="auto"/>
            <w:bottom w:val="none" w:sz="0" w:space="0" w:color="auto"/>
            <w:right w:val="none" w:sz="0" w:space="0" w:color="auto"/>
          </w:divBdr>
          <w:divsChild>
            <w:div w:id="256208844">
              <w:marLeft w:val="0"/>
              <w:marRight w:val="0"/>
              <w:marTop w:val="0"/>
              <w:marBottom w:val="0"/>
              <w:divBdr>
                <w:top w:val="none" w:sz="0" w:space="0" w:color="auto"/>
                <w:left w:val="none" w:sz="0" w:space="0" w:color="auto"/>
                <w:bottom w:val="none" w:sz="0" w:space="0" w:color="auto"/>
                <w:right w:val="none" w:sz="0" w:space="0" w:color="auto"/>
              </w:divBdr>
              <w:divsChild>
                <w:div w:id="1759135109">
                  <w:marLeft w:val="0"/>
                  <w:marRight w:val="0"/>
                  <w:marTop w:val="0"/>
                  <w:marBottom w:val="0"/>
                  <w:divBdr>
                    <w:top w:val="none" w:sz="0" w:space="0" w:color="auto"/>
                    <w:left w:val="none" w:sz="0" w:space="0" w:color="auto"/>
                    <w:bottom w:val="none" w:sz="0" w:space="0" w:color="auto"/>
                    <w:right w:val="none" w:sz="0" w:space="0" w:color="auto"/>
                  </w:divBdr>
                  <w:divsChild>
                    <w:div w:id="1099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0901">
      <w:bodyDiv w:val="1"/>
      <w:marLeft w:val="0"/>
      <w:marRight w:val="0"/>
      <w:marTop w:val="0"/>
      <w:marBottom w:val="0"/>
      <w:divBdr>
        <w:top w:val="none" w:sz="0" w:space="0" w:color="auto"/>
        <w:left w:val="none" w:sz="0" w:space="0" w:color="auto"/>
        <w:bottom w:val="none" w:sz="0" w:space="0" w:color="auto"/>
        <w:right w:val="none" w:sz="0" w:space="0" w:color="auto"/>
      </w:divBdr>
      <w:divsChild>
        <w:div w:id="943265552">
          <w:marLeft w:val="0"/>
          <w:marRight w:val="0"/>
          <w:marTop w:val="0"/>
          <w:marBottom w:val="0"/>
          <w:divBdr>
            <w:top w:val="none" w:sz="0" w:space="0" w:color="auto"/>
            <w:left w:val="none" w:sz="0" w:space="0" w:color="auto"/>
            <w:bottom w:val="none" w:sz="0" w:space="0" w:color="auto"/>
            <w:right w:val="none" w:sz="0" w:space="0" w:color="auto"/>
          </w:divBdr>
          <w:divsChild>
            <w:div w:id="260650326">
              <w:marLeft w:val="0"/>
              <w:marRight w:val="0"/>
              <w:marTop w:val="0"/>
              <w:marBottom w:val="0"/>
              <w:divBdr>
                <w:top w:val="none" w:sz="0" w:space="0" w:color="auto"/>
                <w:left w:val="none" w:sz="0" w:space="0" w:color="auto"/>
                <w:bottom w:val="none" w:sz="0" w:space="0" w:color="auto"/>
                <w:right w:val="none" w:sz="0" w:space="0" w:color="auto"/>
              </w:divBdr>
              <w:divsChild>
                <w:div w:id="1770078616">
                  <w:marLeft w:val="0"/>
                  <w:marRight w:val="0"/>
                  <w:marTop w:val="0"/>
                  <w:marBottom w:val="0"/>
                  <w:divBdr>
                    <w:top w:val="none" w:sz="0" w:space="0" w:color="auto"/>
                    <w:left w:val="none" w:sz="0" w:space="0" w:color="auto"/>
                    <w:bottom w:val="none" w:sz="0" w:space="0" w:color="auto"/>
                    <w:right w:val="none" w:sz="0" w:space="0" w:color="auto"/>
                  </w:divBdr>
                </w:div>
              </w:divsChild>
            </w:div>
            <w:div w:id="340819041">
              <w:marLeft w:val="0"/>
              <w:marRight w:val="0"/>
              <w:marTop w:val="0"/>
              <w:marBottom w:val="0"/>
              <w:divBdr>
                <w:top w:val="none" w:sz="0" w:space="0" w:color="auto"/>
                <w:left w:val="none" w:sz="0" w:space="0" w:color="auto"/>
                <w:bottom w:val="none" w:sz="0" w:space="0" w:color="auto"/>
                <w:right w:val="none" w:sz="0" w:space="0" w:color="auto"/>
              </w:divBdr>
              <w:divsChild>
                <w:div w:id="11586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4008">
      <w:bodyDiv w:val="1"/>
      <w:marLeft w:val="0"/>
      <w:marRight w:val="0"/>
      <w:marTop w:val="0"/>
      <w:marBottom w:val="0"/>
      <w:divBdr>
        <w:top w:val="none" w:sz="0" w:space="0" w:color="auto"/>
        <w:left w:val="none" w:sz="0" w:space="0" w:color="auto"/>
        <w:bottom w:val="none" w:sz="0" w:space="0" w:color="auto"/>
        <w:right w:val="none" w:sz="0" w:space="0" w:color="auto"/>
      </w:divBdr>
    </w:div>
    <w:div w:id="1122580801">
      <w:bodyDiv w:val="1"/>
      <w:marLeft w:val="0"/>
      <w:marRight w:val="0"/>
      <w:marTop w:val="0"/>
      <w:marBottom w:val="0"/>
      <w:divBdr>
        <w:top w:val="none" w:sz="0" w:space="0" w:color="auto"/>
        <w:left w:val="none" w:sz="0" w:space="0" w:color="auto"/>
        <w:bottom w:val="none" w:sz="0" w:space="0" w:color="auto"/>
        <w:right w:val="none" w:sz="0" w:space="0" w:color="auto"/>
      </w:divBdr>
      <w:divsChild>
        <w:div w:id="402871077">
          <w:marLeft w:val="0"/>
          <w:marRight w:val="0"/>
          <w:marTop w:val="0"/>
          <w:marBottom w:val="0"/>
          <w:divBdr>
            <w:top w:val="none" w:sz="0" w:space="0" w:color="auto"/>
            <w:left w:val="none" w:sz="0" w:space="0" w:color="auto"/>
            <w:bottom w:val="none" w:sz="0" w:space="0" w:color="auto"/>
            <w:right w:val="none" w:sz="0" w:space="0" w:color="auto"/>
          </w:divBdr>
        </w:div>
      </w:divsChild>
    </w:div>
    <w:div w:id="1124881496">
      <w:bodyDiv w:val="1"/>
      <w:marLeft w:val="0"/>
      <w:marRight w:val="0"/>
      <w:marTop w:val="0"/>
      <w:marBottom w:val="0"/>
      <w:divBdr>
        <w:top w:val="none" w:sz="0" w:space="0" w:color="auto"/>
        <w:left w:val="none" w:sz="0" w:space="0" w:color="auto"/>
        <w:bottom w:val="none" w:sz="0" w:space="0" w:color="auto"/>
        <w:right w:val="none" w:sz="0" w:space="0" w:color="auto"/>
      </w:divBdr>
      <w:divsChild>
        <w:div w:id="1562328544">
          <w:marLeft w:val="0"/>
          <w:marRight w:val="0"/>
          <w:marTop w:val="0"/>
          <w:marBottom w:val="0"/>
          <w:divBdr>
            <w:top w:val="none" w:sz="0" w:space="0" w:color="auto"/>
            <w:left w:val="none" w:sz="0" w:space="0" w:color="auto"/>
            <w:bottom w:val="none" w:sz="0" w:space="0" w:color="auto"/>
            <w:right w:val="none" w:sz="0" w:space="0" w:color="auto"/>
          </w:divBdr>
        </w:div>
      </w:divsChild>
    </w:div>
    <w:div w:id="1128819993">
      <w:bodyDiv w:val="1"/>
      <w:marLeft w:val="0"/>
      <w:marRight w:val="0"/>
      <w:marTop w:val="0"/>
      <w:marBottom w:val="0"/>
      <w:divBdr>
        <w:top w:val="none" w:sz="0" w:space="0" w:color="auto"/>
        <w:left w:val="none" w:sz="0" w:space="0" w:color="auto"/>
        <w:bottom w:val="none" w:sz="0" w:space="0" w:color="auto"/>
        <w:right w:val="none" w:sz="0" w:space="0" w:color="auto"/>
      </w:divBdr>
      <w:divsChild>
        <w:div w:id="2120492660">
          <w:marLeft w:val="0"/>
          <w:marRight w:val="0"/>
          <w:marTop w:val="0"/>
          <w:marBottom w:val="0"/>
          <w:divBdr>
            <w:top w:val="none" w:sz="0" w:space="0" w:color="auto"/>
            <w:left w:val="none" w:sz="0" w:space="0" w:color="auto"/>
            <w:bottom w:val="none" w:sz="0" w:space="0" w:color="auto"/>
            <w:right w:val="none" w:sz="0" w:space="0" w:color="auto"/>
          </w:divBdr>
        </w:div>
      </w:divsChild>
    </w:div>
    <w:div w:id="1155681565">
      <w:bodyDiv w:val="1"/>
      <w:marLeft w:val="0"/>
      <w:marRight w:val="0"/>
      <w:marTop w:val="0"/>
      <w:marBottom w:val="0"/>
      <w:divBdr>
        <w:top w:val="none" w:sz="0" w:space="0" w:color="auto"/>
        <w:left w:val="none" w:sz="0" w:space="0" w:color="auto"/>
        <w:bottom w:val="none" w:sz="0" w:space="0" w:color="auto"/>
        <w:right w:val="none" w:sz="0" w:space="0" w:color="auto"/>
      </w:divBdr>
      <w:divsChild>
        <w:div w:id="1871648344">
          <w:marLeft w:val="0"/>
          <w:marRight w:val="0"/>
          <w:marTop w:val="0"/>
          <w:marBottom w:val="0"/>
          <w:divBdr>
            <w:top w:val="none" w:sz="0" w:space="0" w:color="auto"/>
            <w:left w:val="none" w:sz="0" w:space="0" w:color="auto"/>
            <w:bottom w:val="none" w:sz="0" w:space="0" w:color="auto"/>
            <w:right w:val="none" w:sz="0" w:space="0" w:color="auto"/>
          </w:divBdr>
          <w:divsChild>
            <w:div w:id="888147571">
              <w:marLeft w:val="0"/>
              <w:marRight w:val="0"/>
              <w:marTop w:val="0"/>
              <w:marBottom w:val="0"/>
              <w:divBdr>
                <w:top w:val="none" w:sz="0" w:space="0" w:color="auto"/>
                <w:left w:val="none" w:sz="0" w:space="0" w:color="auto"/>
                <w:bottom w:val="none" w:sz="0" w:space="0" w:color="auto"/>
                <w:right w:val="none" w:sz="0" w:space="0" w:color="auto"/>
              </w:divBdr>
              <w:divsChild>
                <w:div w:id="1081875299">
                  <w:marLeft w:val="0"/>
                  <w:marRight w:val="0"/>
                  <w:marTop w:val="0"/>
                  <w:marBottom w:val="0"/>
                  <w:divBdr>
                    <w:top w:val="none" w:sz="0" w:space="0" w:color="auto"/>
                    <w:left w:val="none" w:sz="0" w:space="0" w:color="auto"/>
                    <w:bottom w:val="none" w:sz="0" w:space="0" w:color="auto"/>
                    <w:right w:val="none" w:sz="0" w:space="0" w:color="auto"/>
                  </w:divBdr>
                  <w:divsChild>
                    <w:div w:id="16882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5543">
      <w:bodyDiv w:val="1"/>
      <w:marLeft w:val="0"/>
      <w:marRight w:val="0"/>
      <w:marTop w:val="0"/>
      <w:marBottom w:val="0"/>
      <w:divBdr>
        <w:top w:val="none" w:sz="0" w:space="0" w:color="auto"/>
        <w:left w:val="none" w:sz="0" w:space="0" w:color="auto"/>
        <w:bottom w:val="none" w:sz="0" w:space="0" w:color="auto"/>
        <w:right w:val="none" w:sz="0" w:space="0" w:color="auto"/>
      </w:divBdr>
    </w:div>
    <w:div w:id="1298341043">
      <w:bodyDiv w:val="1"/>
      <w:marLeft w:val="0"/>
      <w:marRight w:val="0"/>
      <w:marTop w:val="0"/>
      <w:marBottom w:val="0"/>
      <w:divBdr>
        <w:top w:val="none" w:sz="0" w:space="0" w:color="auto"/>
        <w:left w:val="none" w:sz="0" w:space="0" w:color="auto"/>
        <w:bottom w:val="none" w:sz="0" w:space="0" w:color="auto"/>
        <w:right w:val="none" w:sz="0" w:space="0" w:color="auto"/>
      </w:divBdr>
      <w:divsChild>
        <w:div w:id="655887539">
          <w:marLeft w:val="0"/>
          <w:marRight w:val="0"/>
          <w:marTop w:val="0"/>
          <w:marBottom w:val="0"/>
          <w:divBdr>
            <w:top w:val="none" w:sz="0" w:space="0" w:color="auto"/>
            <w:left w:val="none" w:sz="0" w:space="0" w:color="auto"/>
            <w:bottom w:val="none" w:sz="0" w:space="0" w:color="auto"/>
            <w:right w:val="none" w:sz="0" w:space="0" w:color="auto"/>
          </w:divBdr>
          <w:divsChild>
            <w:div w:id="1501459640">
              <w:marLeft w:val="0"/>
              <w:marRight w:val="0"/>
              <w:marTop w:val="0"/>
              <w:marBottom w:val="0"/>
              <w:divBdr>
                <w:top w:val="none" w:sz="0" w:space="0" w:color="auto"/>
                <w:left w:val="none" w:sz="0" w:space="0" w:color="auto"/>
                <w:bottom w:val="none" w:sz="0" w:space="0" w:color="auto"/>
                <w:right w:val="none" w:sz="0" w:space="0" w:color="auto"/>
              </w:divBdr>
              <w:divsChild>
                <w:div w:id="917446297">
                  <w:marLeft w:val="0"/>
                  <w:marRight w:val="0"/>
                  <w:marTop w:val="0"/>
                  <w:marBottom w:val="0"/>
                  <w:divBdr>
                    <w:top w:val="none" w:sz="0" w:space="0" w:color="auto"/>
                    <w:left w:val="none" w:sz="0" w:space="0" w:color="auto"/>
                    <w:bottom w:val="none" w:sz="0" w:space="0" w:color="auto"/>
                    <w:right w:val="none" w:sz="0" w:space="0" w:color="auto"/>
                  </w:divBdr>
                  <w:divsChild>
                    <w:div w:id="1106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6376">
              <w:marLeft w:val="0"/>
              <w:marRight w:val="0"/>
              <w:marTop w:val="0"/>
              <w:marBottom w:val="0"/>
              <w:divBdr>
                <w:top w:val="none" w:sz="0" w:space="0" w:color="auto"/>
                <w:left w:val="none" w:sz="0" w:space="0" w:color="auto"/>
                <w:bottom w:val="none" w:sz="0" w:space="0" w:color="auto"/>
                <w:right w:val="none" w:sz="0" w:space="0" w:color="auto"/>
              </w:divBdr>
              <w:divsChild>
                <w:div w:id="14573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7851">
          <w:marLeft w:val="0"/>
          <w:marRight w:val="0"/>
          <w:marTop w:val="0"/>
          <w:marBottom w:val="0"/>
          <w:divBdr>
            <w:top w:val="none" w:sz="0" w:space="0" w:color="auto"/>
            <w:left w:val="none" w:sz="0" w:space="0" w:color="auto"/>
            <w:bottom w:val="none" w:sz="0" w:space="0" w:color="auto"/>
            <w:right w:val="none" w:sz="0" w:space="0" w:color="auto"/>
          </w:divBdr>
          <w:divsChild>
            <w:div w:id="2097049242">
              <w:marLeft w:val="0"/>
              <w:marRight w:val="0"/>
              <w:marTop w:val="0"/>
              <w:marBottom w:val="0"/>
              <w:divBdr>
                <w:top w:val="none" w:sz="0" w:space="0" w:color="auto"/>
                <w:left w:val="none" w:sz="0" w:space="0" w:color="auto"/>
                <w:bottom w:val="none" w:sz="0" w:space="0" w:color="auto"/>
                <w:right w:val="none" w:sz="0" w:space="0" w:color="auto"/>
              </w:divBdr>
              <w:divsChild>
                <w:div w:id="687023196">
                  <w:marLeft w:val="0"/>
                  <w:marRight w:val="0"/>
                  <w:marTop w:val="0"/>
                  <w:marBottom w:val="0"/>
                  <w:divBdr>
                    <w:top w:val="none" w:sz="0" w:space="0" w:color="auto"/>
                    <w:left w:val="none" w:sz="0" w:space="0" w:color="auto"/>
                    <w:bottom w:val="none" w:sz="0" w:space="0" w:color="auto"/>
                    <w:right w:val="none" w:sz="0" w:space="0" w:color="auto"/>
                  </w:divBdr>
                </w:div>
              </w:divsChild>
            </w:div>
            <w:div w:id="1134325277">
              <w:marLeft w:val="0"/>
              <w:marRight w:val="0"/>
              <w:marTop w:val="0"/>
              <w:marBottom w:val="0"/>
              <w:divBdr>
                <w:top w:val="none" w:sz="0" w:space="0" w:color="auto"/>
                <w:left w:val="none" w:sz="0" w:space="0" w:color="auto"/>
                <w:bottom w:val="none" w:sz="0" w:space="0" w:color="auto"/>
                <w:right w:val="none" w:sz="0" w:space="0" w:color="auto"/>
              </w:divBdr>
              <w:divsChild>
                <w:div w:id="975988141">
                  <w:marLeft w:val="0"/>
                  <w:marRight w:val="0"/>
                  <w:marTop w:val="0"/>
                  <w:marBottom w:val="0"/>
                  <w:divBdr>
                    <w:top w:val="none" w:sz="0" w:space="0" w:color="auto"/>
                    <w:left w:val="none" w:sz="0" w:space="0" w:color="auto"/>
                    <w:bottom w:val="none" w:sz="0" w:space="0" w:color="auto"/>
                    <w:right w:val="none" w:sz="0" w:space="0" w:color="auto"/>
                  </w:divBdr>
                  <w:divsChild>
                    <w:div w:id="7971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6094">
      <w:bodyDiv w:val="1"/>
      <w:marLeft w:val="0"/>
      <w:marRight w:val="0"/>
      <w:marTop w:val="0"/>
      <w:marBottom w:val="0"/>
      <w:divBdr>
        <w:top w:val="none" w:sz="0" w:space="0" w:color="auto"/>
        <w:left w:val="none" w:sz="0" w:space="0" w:color="auto"/>
        <w:bottom w:val="none" w:sz="0" w:space="0" w:color="auto"/>
        <w:right w:val="none" w:sz="0" w:space="0" w:color="auto"/>
      </w:divBdr>
    </w:div>
    <w:div w:id="1314943673">
      <w:bodyDiv w:val="1"/>
      <w:marLeft w:val="0"/>
      <w:marRight w:val="0"/>
      <w:marTop w:val="0"/>
      <w:marBottom w:val="0"/>
      <w:divBdr>
        <w:top w:val="none" w:sz="0" w:space="0" w:color="auto"/>
        <w:left w:val="none" w:sz="0" w:space="0" w:color="auto"/>
        <w:bottom w:val="none" w:sz="0" w:space="0" w:color="auto"/>
        <w:right w:val="none" w:sz="0" w:space="0" w:color="auto"/>
      </w:divBdr>
      <w:divsChild>
        <w:div w:id="681934662">
          <w:marLeft w:val="0"/>
          <w:marRight w:val="0"/>
          <w:marTop w:val="0"/>
          <w:marBottom w:val="0"/>
          <w:divBdr>
            <w:top w:val="none" w:sz="0" w:space="0" w:color="auto"/>
            <w:left w:val="none" w:sz="0" w:space="0" w:color="auto"/>
            <w:bottom w:val="none" w:sz="0" w:space="0" w:color="auto"/>
            <w:right w:val="none" w:sz="0" w:space="0" w:color="auto"/>
          </w:divBdr>
          <w:divsChild>
            <w:div w:id="1379357256">
              <w:marLeft w:val="0"/>
              <w:marRight w:val="0"/>
              <w:marTop w:val="0"/>
              <w:marBottom w:val="0"/>
              <w:divBdr>
                <w:top w:val="none" w:sz="0" w:space="0" w:color="auto"/>
                <w:left w:val="none" w:sz="0" w:space="0" w:color="auto"/>
                <w:bottom w:val="none" w:sz="0" w:space="0" w:color="auto"/>
                <w:right w:val="none" w:sz="0" w:space="0" w:color="auto"/>
              </w:divBdr>
              <w:divsChild>
                <w:div w:id="1867595606">
                  <w:marLeft w:val="0"/>
                  <w:marRight w:val="0"/>
                  <w:marTop w:val="0"/>
                  <w:marBottom w:val="0"/>
                  <w:divBdr>
                    <w:top w:val="none" w:sz="0" w:space="0" w:color="auto"/>
                    <w:left w:val="none" w:sz="0" w:space="0" w:color="auto"/>
                    <w:bottom w:val="none" w:sz="0" w:space="0" w:color="auto"/>
                    <w:right w:val="none" w:sz="0" w:space="0" w:color="auto"/>
                  </w:divBdr>
                  <w:divsChild>
                    <w:div w:id="811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6913">
      <w:bodyDiv w:val="1"/>
      <w:marLeft w:val="0"/>
      <w:marRight w:val="0"/>
      <w:marTop w:val="0"/>
      <w:marBottom w:val="0"/>
      <w:divBdr>
        <w:top w:val="none" w:sz="0" w:space="0" w:color="auto"/>
        <w:left w:val="none" w:sz="0" w:space="0" w:color="auto"/>
        <w:bottom w:val="none" w:sz="0" w:space="0" w:color="auto"/>
        <w:right w:val="none" w:sz="0" w:space="0" w:color="auto"/>
      </w:divBdr>
      <w:divsChild>
        <w:div w:id="677999282">
          <w:marLeft w:val="0"/>
          <w:marRight w:val="0"/>
          <w:marTop w:val="0"/>
          <w:marBottom w:val="0"/>
          <w:divBdr>
            <w:top w:val="none" w:sz="0" w:space="0" w:color="auto"/>
            <w:left w:val="none" w:sz="0" w:space="0" w:color="auto"/>
            <w:bottom w:val="none" w:sz="0" w:space="0" w:color="auto"/>
            <w:right w:val="none" w:sz="0" w:space="0" w:color="auto"/>
          </w:divBdr>
          <w:divsChild>
            <w:div w:id="1501701914">
              <w:marLeft w:val="0"/>
              <w:marRight w:val="0"/>
              <w:marTop w:val="0"/>
              <w:marBottom w:val="0"/>
              <w:divBdr>
                <w:top w:val="none" w:sz="0" w:space="0" w:color="auto"/>
                <w:left w:val="none" w:sz="0" w:space="0" w:color="auto"/>
                <w:bottom w:val="none" w:sz="0" w:space="0" w:color="auto"/>
                <w:right w:val="none" w:sz="0" w:space="0" w:color="auto"/>
              </w:divBdr>
              <w:divsChild>
                <w:div w:id="12590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9829">
      <w:bodyDiv w:val="1"/>
      <w:marLeft w:val="0"/>
      <w:marRight w:val="0"/>
      <w:marTop w:val="0"/>
      <w:marBottom w:val="0"/>
      <w:divBdr>
        <w:top w:val="none" w:sz="0" w:space="0" w:color="auto"/>
        <w:left w:val="none" w:sz="0" w:space="0" w:color="auto"/>
        <w:bottom w:val="none" w:sz="0" w:space="0" w:color="auto"/>
        <w:right w:val="none" w:sz="0" w:space="0" w:color="auto"/>
      </w:divBdr>
      <w:divsChild>
        <w:div w:id="301468788">
          <w:marLeft w:val="0"/>
          <w:marRight w:val="0"/>
          <w:marTop w:val="0"/>
          <w:marBottom w:val="0"/>
          <w:divBdr>
            <w:top w:val="none" w:sz="0" w:space="0" w:color="auto"/>
            <w:left w:val="none" w:sz="0" w:space="0" w:color="auto"/>
            <w:bottom w:val="none" w:sz="0" w:space="0" w:color="auto"/>
            <w:right w:val="none" w:sz="0" w:space="0" w:color="auto"/>
          </w:divBdr>
          <w:divsChild>
            <w:div w:id="648562456">
              <w:marLeft w:val="0"/>
              <w:marRight w:val="0"/>
              <w:marTop w:val="0"/>
              <w:marBottom w:val="0"/>
              <w:divBdr>
                <w:top w:val="none" w:sz="0" w:space="0" w:color="auto"/>
                <w:left w:val="none" w:sz="0" w:space="0" w:color="auto"/>
                <w:bottom w:val="none" w:sz="0" w:space="0" w:color="auto"/>
                <w:right w:val="none" w:sz="0" w:space="0" w:color="auto"/>
              </w:divBdr>
              <w:divsChild>
                <w:div w:id="790133463">
                  <w:marLeft w:val="0"/>
                  <w:marRight w:val="0"/>
                  <w:marTop w:val="0"/>
                  <w:marBottom w:val="0"/>
                  <w:divBdr>
                    <w:top w:val="none" w:sz="0" w:space="0" w:color="auto"/>
                    <w:left w:val="none" w:sz="0" w:space="0" w:color="auto"/>
                    <w:bottom w:val="none" w:sz="0" w:space="0" w:color="auto"/>
                    <w:right w:val="none" w:sz="0" w:space="0" w:color="auto"/>
                  </w:divBdr>
                  <w:divsChild>
                    <w:div w:id="1525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2367">
      <w:bodyDiv w:val="1"/>
      <w:marLeft w:val="0"/>
      <w:marRight w:val="0"/>
      <w:marTop w:val="0"/>
      <w:marBottom w:val="0"/>
      <w:divBdr>
        <w:top w:val="none" w:sz="0" w:space="0" w:color="auto"/>
        <w:left w:val="none" w:sz="0" w:space="0" w:color="auto"/>
        <w:bottom w:val="none" w:sz="0" w:space="0" w:color="auto"/>
        <w:right w:val="none" w:sz="0" w:space="0" w:color="auto"/>
      </w:divBdr>
      <w:divsChild>
        <w:div w:id="690305878">
          <w:marLeft w:val="0"/>
          <w:marRight w:val="0"/>
          <w:marTop w:val="0"/>
          <w:marBottom w:val="0"/>
          <w:divBdr>
            <w:top w:val="none" w:sz="0" w:space="0" w:color="auto"/>
            <w:left w:val="none" w:sz="0" w:space="0" w:color="auto"/>
            <w:bottom w:val="none" w:sz="0" w:space="0" w:color="auto"/>
            <w:right w:val="none" w:sz="0" w:space="0" w:color="auto"/>
          </w:divBdr>
          <w:divsChild>
            <w:div w:id="1143892717">
              <w:marLeft w:val="0"/>
              <w:marRight w:val="0"/>
              <w:marTop w:val="0"/>
              <w:marBottom w:val="0"/>
              <w:divBdr>
                <w:top w:val="none" w:sz="0" w:space="0" w:color="auto"/>
                <w:left w:val="none" w:sz="0" w:space="0" w:color="auto"/>
                <w:bottom w:val="none" w:sz="0" w:space="0" w:color="auto"/>
                <w:right w:val="none" w:sz="0" w:space="0" w:color="auto"/>
              </w:divBdr>
              <w:divsChild>
                <w:div w:id="1154099645">
                  <w:marLeft w:val="0"/>
                  <w:marRight w:val="0"/>
                  <w:marTop w:val="0"/>
                  <w:marBottom w:val="0"/>
                  <w:divBdr>
                    <w:top w:val="none" w:sz="0" w:space="0" w:color="auto"/>
                    <w:left w:val="none" w:sz="0" w:space="0" w:color="auto"/>
                    <w:bottom w:val="none" w:sz="0" w:space="0" w:color="auto"/>
                    <w:right w:val="none" w:sz="0" w:space="0" w:color="auto"/>
                  </w:divBdr>
                  <w:divsChild>
                    <w:div w:id="975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88978">
      <w:bodyDiv w:val="1"/>
      <w:marLeft w:val="0"/>
      <w:marRight w:val="0"/>
      <w:marTop w:val="0"/>
      <w:marBottom w:val="0"/>
      <w:divBdr>
        <w:top w:val="none" w:sz="0" w:space="0" w:color="auto"/>
        <w:left w:val="none" w:sz="0" w:space="0" w:color="auto"/>
        <w:bottom w:val="none" w:sz="0" w:space="0" w:color="auto"/>
        <w:right w:val="none" w:sz="0" w:space="0" w:color="auto"/>
      </w:divBdr>
    </w:div>
    <w:div w:id="1552811749">
      <w:bodyDiv w:val="1"/>
      <w:marLeft w:val="0"/>
      <w:marRight w:val="0"/>
      <w:marTop w:val="0"/>
      <w:marBottom w:val="0"/>
      <w:divBdr>
        <w:top w:val="none" w:sz="0" w:space="0" w:color="auto"/>
        <w:left w:val="none" w:sz="0" w:space="0" w:color="auto"/>
        <w:bottom w:val="none" w:sz="0" w:space="0" w:color="auto"/>
        <w:right w:val="none" w:sz="0" w:space="0" w:color="auto"/>
      </w:divBdr>
      <w:divsChild>
        <w:div w:id="1859809147">
          <w:marLeft w:val="0"/>
          <w:marRight w:val="0"/>
          <w:marTop w:val="0"/>
          <w:marBottom w:val="0"/>
          <w:divBdr>
            <w:top w:val="none" w:sz="0" w:space="0" w:color="auto"/>
            <w:left w:val="none" w:sz="0" w:space="0" w:color="auto"/>
            <w:bottom w:val="none" w:sz="0" w:space="0" w:color="auto"/>
            <w:right w:val="none" w:sz="0" w:space="0" w:color="auto"/>
          </w:divBdr>
          <w:divsChild>
            <w:div w:id="1658606601">
              <w:marLeft w:val="0"/>
              <w:marRight w:val="0"/>
              <w:marTop w:val="0"/>
              <w:marBottom w:val="0"/>
              <w:divBdr>
                <w:top w:val="none" w:sz="0" w:space="0" w:color="auto"/>
                <w:left w:val="none" w:sz="0" w:space="0" w:color="auto"/>
                <w:bottom w:val="none" w:sz="0" w:space="0" w:color="auto"/>
                <w:right w:val="none" w:sz="0" w:space="0" w:color="auto"/>
              </w:divBdr>
              <w:divsChild>
                <w:div w:id="1496913857">
                  <w:marLeft w:val="0"/>
                  <w:marRight w:val="0"/>
                  <w:marTop w:val="0"/>
                  <w:marBottom w:val="0"/>
                  <w:divBdr>
                    <w:top w:val="none" w:sz="0" w:space="0" w:color="auto"/>
                    <w:left w:val="none" w:sz="0" w:space="0" w:color="auto"/>
                    <w:bottom w:val="none" w:sz="0" w:space="0" w:color="auto"/>
                    <w:right w:val="none" w:sz="0" w:space="0" w:color="auto"/>
                  </w:divBdr>
                  <w:divsChild>
                    <w:div w:id="6970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48228">
      <w:bodyDiv w:val="1"/>
      <w:marLeft w:val="0"/>
      <w:marRight w:val="0"/>
      <w:marTop w:val="0"/>
      <w:marBottom w:val="0"/>
      <w:divBdr>
        <w:top w:val="none" w:sz="0" w:space="0" w:color="auto"/>
        <w:left w:val="none" w:sz="0" w:space="0" w:color="auto"/>
        <w:bottom w:val="none" w:sz="0" w:space="0" w:color="auto"/>
        <w:right w:val="none" w:sz="0" w:space="0" w:color="auto"/>
      </w:divBdr>
      <w:divsChild>
        <w:div w:id="766536213">
          <w:marLeft w:val="0"/>
          <w:marRight w:val="0"/>
          <w:marTop w:val="0"/>
          <w:marBottom w:val="0"/>
          <w:divBdr>
            <w:top w:val="none" w:sz="0" w:space="0" w:color="auto"/>
            <w:left w:val="none" w:sz="0" w:space="0" w:color="auto"/>
            <w:bottom w:val="none" w:sz="0" w:space="0" w:color="auto"/>
            <w:right w:val="none" w:sz="0" w:space="0" w:color="auto"/>
          </w:divBdr>
          <w:divsChild>
            <w:div w:id="1140344878">
              <w:marLeft w:val="0"/>
              <w:marRight w:val="0"/>
              <w:marTop w:val="0"/>
              <w:marBottom w:val="0"/>
              <w:divBdr>
                <w:top w:val="none" w:sz="0" w:space="0" w:color="auto"/>
                <w:left w:val="none" w:sz="0" w:space="0" w:color="auto"/>
                <w:bottom w:val="none" w:sz="0" w:space="0" w:color="auto"/>
                <w:right w:val="none" w:sz="0" w:space="0" w:color="auto"/>
              </w:divBdr>
              <w:divsChild>
                <w:div w:id="17621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1626">
      <w:bodyDiv w:val="1"/>
      <w:marLeft w:val="0"/>
      <w:marRight w:val="0"/>
      <w:marTop w:val="0"/>
      <w:marBottom w:val="0"/>
      <w:divBdr>
        <w:top w:val="none" w:sz="0" w:space="0" w:color="auto"/>
        <w:left w:val="none" w:sz="0" w:space="0" w:color="auto"/>
        <w:bottom w:val="none" w:sz="0" w:space="0" w:color="auto"/>
        <w:right w:val="none" w:sz="0" w:space="0" w:color="auto"/>
      </w:divBdr>
      <w:divsChild>
        <w:div w:id="606425877">
          <w:marLeft w:val="0"/>
          <w:marRight w:val="0"/>
          <w:marTop w:val="0"/>
          <w:marBottom w:val="0"/>
          <w:divBdr>
            <w:top w:val="none" w:sz="0" w:space="0" w:color="auto"/>
            <w:left w:val="none" w:sz="0" w:space="0" w:color="auto"/>
            <w:bottom w:val="none" w:sz="0" w:space="0" w:color="auto"/>
            <w:right w:val="none" w:sz="0" w:space="0" w:color="auto"/>
          </w:divBdr>
          <w:divsChild>
            <w:div w:id="1916892296">
              <w:marLeft w:val="0"/>
              <w:marRight w:val="0"/>
              <w:marTop w:val="0"/>
              <w:marBottom w:val="0"/>
              <w:divBdr>
                <w:top w:val="none" w:sz="0" w:space="0" w:color="auto"/>
                <w:left w:val="none" w:sz="0" w:space="0" w:color="auto"/>
                <w:bottom w:val="none" w:sz="0" w:space="0" w:color="auto"/>
                <w:right w:val="none" w:sz="0" w:space="0" w:color="auto"/>
              </w:divBdr>
              <w:divsChild>
                <w:div w:id="1571574349">
                  <w:marLeft w:val="0"/>
                  <w:marRight w:val="0"/>
                  <w:marTop w:val="0"/>
                  <w:marBottom w:val="0"/>
                  <w:divBdr>
                    <w:top w:val="none" w:sz="0" w:space="0" w:color="auto"/>
                    <w:left w:val="none" w:sz="0" w:space="0" w:color="auto"/>
                    <w:bottom w:val="none" w:sz="0" w:space="0" w:color="auto"/>
                    <w:right w:val="none" w:sz="0" w:space="0" w:color="auto"/>
                  </w:divBdr>
                  <w:divsChild>
                    <w:div w:id="943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31590">
      <w:bodyDiv w:val="1"/>
      <w:marLeft w:val="0"/>
      <w:marRight w:val="0"/>
      <w:marTop w:val="0"/>
      <w:marBottom w:val="0"/>
      <w:divBdr>
        <w:top w:val="none" w:sz="0" w:space="0" w:color="auto"/>
        <w:left w:val="none" w:sz="0" w:space="0" w:color="auto"/>
        <w:bottom w:val="none" w:sz="0" w:space="0" w:color="auto"/>
        <w:right w:val="none" w:sz="0" w:space="0" w:color="auto"/>
      </w:divBdr>
    </w:div>
    <w:div w:id="1724718358">
      <w:bodyDiv w:val="1"/>
      <w:marLeft w:val="0"/>
      <w:marRight w:val="0"/>
      <w:marTop w:val="0"/>
      <w:marBottom w:val="0"/>
      <w:divBdr>
        <w:top w:val="none" w:sz="0" w:space="0" w:color="auto"/>
        <w:left w:val="none" w:sz="0" w:space="0" w:color="auto"/>
        <w:bottom w:val="none" w:sz="0" w:space="0" w:color="auto"/>
        <w:right w:val="none" w:sz="0" w:space="0" w:color="auto"/>
      </w:divBdr>
      <w:divsChild>
        <w:div w:id="1001009532">
          <w:marLeft w:val="0"/>
          <w:marRight w:val="0"/>
          <w:marTop w:val="0"/>
          <w:marBottom w:val="0"/>
          <w:divBdr>
            <w:top w:val="none" w:sz="0" w:space="0" w:color="auto"/>
            <w:left w:val="none" w:sz="0" w:space="0" w:color="auto"/>
            <w:bottom w:val="none" w:sz="0" w:space="0" w:color="auto"/>
            <w:right w:val="none" w:sz="0" w:space="0" w:color="auto"/>
          </w:divBdr>
          <w:divsChild>
            <w:div w:id="384837476">
              <w:marLeft w:val="0"/>
              <w:marRight w:val="0"/>
              <w:marTop w:val="0"/>
              <w:marBottom w:val="0"/>
              <w:divBdr>
                <w:top w:val="none" w:sz="0" w:space="0" w:color="auto"/>
                <w:left w:val="none" w:sz="0" w:space="0" w:color="auto"/>
                <w:bottom w:val="none" w:sz="0" w:space="0" w:color="auto"/>
                <w:right w:val="none" w:sz="0" w:space="0" w:color="auto"/>
              </w:divBdr>
              <w:divsChild>
                <w:div w:id="1442148350">
                  <w:marLeft w:val="0"/>
                  <w:marRight w:val="0"/>
                  <w:marTop w:val="0"/>
                  <w:marBottom w:val="0"/>
                  <w:divBdr>
                    <w:top w:val="none" w:sz="0" w:space="0" w:color="auto"/>
                    <w:left w:val="none" w:sz="0" w:space="0" w:color="auto"/>
                    <w:bottom w:val="none" w:sz="0" w:space="0" w:color="auto"/>
                    <w:right w:val="none" w:sz="0" w:space="0" w:color="auto"/>
                  </w:divBdr>
                  <w:divsChild>
                    <w:div w:id="3797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2139">
      <w:bodyDiv w:val="1"/>
      <w:marLeft w:val="0"/>
      <w:marRight w:val="0"/>
      <w:marTop w:val="0"/>
      <w:marBottom w:val="0"/>
      <w:divBdr>
        <w:top w:val="none" w:sz="0" w:space="0" w:color="auto"/>
        <w:left w:val="none" w:sz="0" w:space="0" w:color="auto"/>
        <w:bottom w:val="none" w:sz="0" w:space="0" w:color="auto"/>
        <w:right w:val="none" w:sz="0" w:space="0" w:color="auto"/>
      </w:divBdr>
      <w:divsChild>
        <w:div w:id="309406742">
          <w:marLeft w:val="0"/>
          <w:marRight w:val="0"/>
          <w:marTop w:val="0"/>
          <w:marBottom w:val="0"/>
          <w:divBdr>
            <w:top w:val="none" w:sz="0" w:space="0" w:color="auto"/>
            <w:left w:val="none" w:sz="0" w:space="0" w:color="auto"/>
            <w:bottom w:val="none" w:sz="0" w:space="0" w:color="auto"/>
            <w:right w:val="none" w:sz="0" w:space="0" w:color="auto"/>
          </w:divBdr>
          <w:divsChild>
            <w:div w:id="1544055229">
              <w:marLeft w:val="0"/>
              <w:marRight w:val="0"/>
              <w:marTop w:val="0"/>
              <w:marBottom w:val="0"/>
              <w:divBdr>
                <w:top w:val="none" w:sz="0" w:space="0" w:color="auto"/>
                <w:left w:val="none" w:sz="0" w:space="0" w:color="auto"/>
                <w:bottom w:val="none" w:sz="0" w:space="0" w:color="auto"/>
                <w:right w:val="none" w:sz="0" w:space="0" w:color="auto"/>
              </w:divBdr>
              <w:divsChild>
                <w:div w:id="1713656123">
                  <w:marLeft w:val="0"/>
                  <w:marRight w:val="0"/>
                  <w:marTop w:val="0"/>
                  <w:marBottom w:val="0"/>
                  <w:divBdr>
                    <w:top w:val="none" w:sz="0" w:space="0" w:color="auto"/>
                    <w:left w:val="none" w:sz="0" w:space="0" w:color="auto"/>
                    <w:bottom w:val="none" w:sz="0" w:space="0" w:color="auto"/>
                    <w:right w:val="none" w:sz="0" w:space="0" w:color="auto"/>
                  </w:divBdr>
                  <w:divsChild>
                    <w:div w:id="10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3593">
      <w:bodyDiv w:val="1"/>
      <w:marLeft w:val="0"/>
      <w:marRight w:val="0"/>
      <w:marTop w:val="0"/>
      <w:marBottom w:val="0"/>
      <w:divBdr>
        <w:top w:val="none" w:sz="0" w:space="0" w:color="auto"/>
        <w:left w:val="none" w:sz="0" w:space="0" w:color="auto"/>
        <w:bottom w:val="none" w:sz="0" w:space="0" w:color="auto"/>
        <w:right w:val="none" w:sz="0" w:space="0" w:color="auto"/>
      </w:divBdr>
      <w:divsChild>
        <w:div w:id="1841458159">
          <w:marLeft w:val="0"/>
          <w:marRight w:val="0"/>
          <w:marTop w:val="0"/>
          <w:marBottom w:val="0"/>
          <w:divBdr>
            <w:top w:val="none" w:sz="0" w:space="0" w:color="auto"/>
            <w:left w:val="none" w:sz="0" w:space="0" w:color="auto"/>
            <w:bottom w:val="none" w:sz="0" w:space="0" w:color="auto"/>
            <w:right w:val="none" w:sz="0" w:space="0" w:color="auto"/>
          </w:divBdr>
          <w:divsChild>
            <w:div w:id="1995185620">
              <w:marLeft w:val="0"/>
              <w:marRight w:val="0"/>
              <w:marTop w:val="0"/>
              <w:marBottom w:val="0"/>
              <w:divBdr>
                <w:top w:val="none" w:sz="0" w:space="0" w:color="auto"/>
                <w:left w:val="none" w:sz="0" w:space="0" w:color="auto"/>
                <w:bottom w:val="none" w:sz="0" w:space="0" w:color="auto"/>
                <w:right w:val="none" w:sz="0" w:space="0" w:color="auto"/>
              </w:divBdr>
              <w:divsChild>
                <w:div w:id="950941503">
                  <w:marLeft w:val="0"/>
                  <w:marRight w:val="0"/>
                  <w:marTop w:val="0"/>
                  <w:marBottom w:val="0"/>
                  <w:divBdr>
                    <w:top w:val="none" w:sz="0" w:space="0" w:color="auto"/>
                    <w:left w:val="none" w:sz="0" w:space="0" w:color="auto"/>
                    <w:bottom w:val="none" w:sz="0" w:space="0" w:color="auto"/>
                    <w:right w:val="none" w:sz="0" w:space="0" w:color="auto"/>
                  </w:divBdr>
                  <w:divsChild>
                    <w:div w:id="675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180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866">
          <w:marLeft w:val="0"/>
          <w:marRight w:val="0"/>
          <w:marTop w:val="0"/>
          <w:marBottom w:val="0"/>
          <w:divBdr>
            <w:top w:val="none" w:sz="0" w:space="0" w:color="auto"/>
            <w:left w:val="none" w:sz="0" w:space="0" w:color="auto"/>
            <w:bottom w:val="none" w:sz="0" w:space="0" w:color="auto"/>
            <w:right w:val="none" w:sz="0" w:space="0" w:color="auto"/>
          </w:divBdr>
          <w:divsChild>
            <w:div w:id="415443123">
              <w:marLeft w:val="0"/>
              <w:marRight w:val="0"/>
              <w:marTop w:val="0"/>
              <w:marBottom w:val="0"/>
              <w:divBdr>
                <w:top w:val="none" w:sz="0" w:space="0" w:color="auto"/>
                <w:left w:val="none" w:sz="0" w:space="0" w:color="auto"/>
                <w:bottom w:val="none" w:sz="0" w:space="0" w:color="auto"/>
                <w:right w:val="none" w:sz="0" w:space="0" w:color="auto"/>
              </w:divBdr>
              <w:divsChild>
                <w:div w:id="1499881629">
                  <w:marLeft w:val="0"/>
                  <w:marRight w:val="0"/>
                  <w:marTop w:val="0"/>
                  <w:marBottom w:val="0"/>
                  <w:divBdr>
                    <w:top w:val="none" w:sz="0" w:space="0" w:color="auto"/>
                    <w:left w:val="none" w:sz="0" w:space="0" w:color="auto"/>
                    <w:bottom w:val="none" w:sz="0" w:space="0" w:color="auto"/>
                    <w:right w:val="none" w:sz="0" w:space="0" w:color="auto"/>
                  </w:divBdr>
                </w:div>
              </w:divsChild>
            </w:div>
            <w:div w:id="1880438657">
              <w:marLeft w:val="0"/>
              <w:marRight w:val="0"/>
              <w:marTop w:val="0"/>
              <w:marBottom w:val="0"/>
              <w:divBdr>
                <w:top w:val="none" w:sz="0" w:space="0" w:color="auto"/>
                <w:left w:val="none" w:sz="0" w:space="0" w:color="auto"/>
                <w:bottom w:val="none" w:sz="0" w:space="0" w:color="auto"/>
                <w:right w:val="none" w:sz="0" w:space="0" w:color="auto"/>
              </w:divBdr>
              <w:divsChild>
                <w:div w:id="19256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4366">
          <w:marLeft w:val="0"/>
          <w:marRight w:val="0"/>
          <w:marTop w:val="0"/>
          <w:marBottom w:val="0"/>
          <w:divBdr>
            <w:top w:val="none" w:sz="0" w:space="0" w:color="auto"/>
            <w:left w:val="none" w:sz="0" w:space="0" w:color="auto"/>
            <w:bottom w:val="none" w:sz="0" w:space="0" w:color="auto"/>
            <w:right w:val="none" w:sz="0" w:space="0" w:color="auto"/>
          </w:divBdr>
          <w:divsChild>
            <w:div w:id="2063598192">
              <w:marLeft w:val="0"/>
              <w:marRight w:val="0"/>
              <w:marTop w:val="0"/>
              <w:marBottom w:val="0"/>
              <w:divBdr>
                <w:top w:val="none" w:sz="0" w:space="0" w:color="auto"/>
                <w:left w:val="none" w:sz="0" w:space="0" w:color="auto"/>
                <w:bottom w:val="none" w:sz="0" w:space="0" w:color="auto"/>
                <w:right w:val="none" w:sz="0" w:space="0" w:color="auto"/>
              </w:divBdr>
              <w:divsChild>
                <w:div w:id="1387874405">
                  <w:marLeft w:val="0"/>
                  <w:marRight w:val="0"/>
                  <w:marTop w:val="0"/>
                  <w:marBottom w:val="0"/>
                  <w:divBdr>
                    <w:top w:val="none" w:sz="0" w:space="0" w:color="auto"/>
                    <w:left w:val="none" w:sz="0" w:space="0" w:color="auto"/>
                    <w:bottom w:val="none" w:sz="0" w:space="0" w:color="auto"/>
                    <w:right w:val="none" w:sz="0" w:space="0" w:color="auto"/>
                  </w:divBdr>
                </w:div>
              </w:divsChild>
            </w:div>
            <w:div w:id="686753623">
              <w:marLeft w:val="0"/>
              <w:marRight w:val="0"/>
              <w:marTop w:val="0"/>
              <w:marBottom w:val="0"/>
              <w:divBdr>
                <w:top w:val="none" w:sz="0" w:space="0" w:color="auto"/>
                <w:left w:val="none" w:sz="0" w:space="0" w:color="auto"/>
                <w:bottom w:val="none" w:sz="0" w:space="0" w:color="auto"/>
                <w:right w:val="none" w:sz="0" w:space="0" w:color="auto"/>
              </w:divBdr>
              <w:divsChild>
                <w:div w:id="151068783">
                  <w:marLeft w:val="0"/>
                  <w:marRight w:val="0"/>
                  <w:marTop w:val="0"/>
                  <w:marBottom w:val="0"/>
                  <w:divBdr>
                    <w:top w:val="none" w:sz="0" w:space="0" w:color="auto"/>
                    <w:left w:val="none" w:sz="0" w:space="0" w:color="auto"/>
                    <w:bottom w:val="none" w:sz="0" w:space="0" w:color="auto"/>
                    <w:right w:val="none" w:sz="0" w:space="0" w:color="auto"/>
                  </w:divBdr>
                </w:div>
                <w:div w:id="1582835672">
                  <w:marLeft w:val="0"/>
                  <w:marRight w:val="0"/>
                  <w:marTop w:val="0"/>
                  <w:marBottom w:val="0"/>
                  <w:divBdr>
                    <w:top w:val="none" w:sz="0" w:space="0" w:color="auto"/>
                    <w:left w:val="none" w:sz="0" w:space="0" w:color="auto"/>
                    <w:bottom w:val="none" w:sz="0" w:space="0" w:color="auto"/>
                    <w:right w:val="none" w:sz="0" w:space="0" w:color="auto"/>
                  </w:divBdr>
                </w:div>
              </w:divsChild>
            </w:div>
            <w:div w:id="122433460">
              <w:marLeft w:val="0"/>
              <w:marRight w:val="0"/>
              <w:marTop w:val="0"/>
              <w:marBottom w:val="0"/>
              <w:divBdr>
                <w:top w:val="none" w:sz="0" w:space="0" w:color="auto"/>
                <w:left w:val="none" w:sz="0" w:space="0" w:color="auto"/>
                <w:bottom w:val="none" w:sz="0" w:space="0" w:color="auto"/>
                <w:right w:val="none" w:sz="0" w:space="0" w:color="auto"/>
              </w:divBdr>
              <w:divsChild>
                <w:div w:id="308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3274">
      <w:bodyDiv w:val="1"/>
      <w:marLeft w:val="0"/>
      <w:marRight w:val="0"/>
      <w:marTop w:val="0"/>
      <w:marBottom w:val="0"/>
      <w:divBdr>
        <w:top w:val="none" w:sz="0" w:space="0" w:color="auto"/>
        <w:left w:val="none" w:sz="0" w:space="0" w:color="auto"/>
        <w:bottom w:val="none" w:sz="0" w:space="0" w:color="auto"/>
        <w:right w:val="none" w:sz="0" w:space="0" w:color="auto"/>
      </w:divBdr>
      <w:divsChild>
        <w:div w:id="1125270709">
          <w:marLeft w:val="0"/>
          <w:marRight w:val="0"/>
          <w:marTop w:val="0"/>
          <w:marBottom w:val="0"/>
          <w:divBdr>
            <w:top w:val="none" w:sz="0" w:space="0" w:color="auto"/>
            <w:left w:val="none" w:sz="0" w:space="0" w:color="auto"/>
            <w:bottom w:val="none" w:sz="0" w:space="0" w:color="auto"/>
            <w:right w:val="none" w:sz="0" w:space="0" w:color="auto"/>
          </w:divBdr>
          <w:divsChild>
            <w:div w:id="550767548">
              <w:marLeft w:val="0"/>
              <w:marRight w:val="0"/>
              <w:marTop w:val="0"/>
              <w:marBottom w:val="0"/>
              <w:divBdr>
                <w:top w:val="none" w:sz="0" w:space="0" w:color="auto"/>
                <w:left w:val="none" w:sz="0" w:space="0" w:color="auto"/>
                <w:bottom w:val="none" w:sz="0" w:space="0" w:color="auto"/>
                <w:right w:val="none" w:sz="0" w:space="0" w:color="auto"/>
              </w:divBdr>
              <w:divsChild>
                <w:div w:id="1704482032">
                  <w:marLeft w:val="0"/>
                  <w:marRight w:val="0"/>
                  <w:marTop w:val="0"/>
                  <w:marBottom w:val="0"/>
                  <w:divBdr>
                    <w:top w:val="none" w:sz="0" w:space="0" w:color="auto"/>
                    <w:left w:val="none" w:sz="0" w:space="0" w:color="auto"/>
                    <w:bottom w:val="none" w:sz="0" w:space="0" w:color="auto"/>
                    <w:right w:val="none" w:sz="0" w:space="0" w:color="auto"/>
                  </w:divBdr>
                  <w:divsChild>
                    <w:div w:id="10386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3870">
      <w:bodyDiv w:val="1"/>
      <w:marLeft w:val="0"/>
      <w:marRight w:val="0"/>
      <w:marTop w:val="0"/>
      <w:marBottom w:val="0"/>
      <w:divBdr>
        <w:top w:val="none" w:sz="0" w:space="0" w:color="auto"/>
        <w:left w:val="none" w:sz="0" w:space="0" w:color="auto"/>
        <w:bottom w:val="none" w:sz="0" w:space="0" w:color="auto"/>
        <w:right w:val="none" w:sz="0" w:space="0" w:color="auto"/>
      </w:divBdr>
      <w:divsChild>
        <w:div w:id="691303038">
          <w:marLeft w:val="0"/>
          <w:marRight w:val="0"/>
          <w:marTop w:val="0"/>
          <w:marBottom w:val="0"/>
          <w:divBdr>
            <w:top w:val="none" w:sz="0" w:space="0" w:color="auto"/>
            <w:left w:val="none" w:sz="0" w:space="0" w:color="auto"/>
            <w:bottom w:val="none" w:sz="0" w:space="0" w:color="auto"/>
            <w:right w:val="none" w:sz="0" w:space="0" w:color="auto"/>
          </w:divBdr>
        </w:div>
      </w:divsChild>
    </w:div>
    <w:div w:id="2014722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0450">
          <w:marLeft w:val="0"/>
          <w:marRight w:val="0"/>
          <w:marTop w:val="0"/>
          <w:marBottom w:val="0"/>
          <w:divBdr>
            <w:top w:val="none" w:sz="0" w:space="0" w:color="auto"/>
            <w:left w:val="none" w:sz="0" w:space="0" w:color="auto"/>
            <w:bottom w:val="none" w:sz="0" w:space="0" w:color="auto"/>
            <w:right w:val="none" w:sz="0" w:space="0" w:color="auto"/>
          </w:divBdr>
          <w:divsChild>
            <w:div w:id="1347902733">
              <w:marLeft w:val="0"/>
              <w:marRight w:val="0"/>
              <w:marTop w:val="0"/>
              <w:marBottom w:val="0"/>
              <w:divBdr>
                <w:top w:val="none" w:sz="0" w:space="0" w:color="auto"/>
                <w:left w:val="none" w:sz="0" w:space="0" w:color="auto"/>
                <w:bottom w:val="none" w:sz="0" w:space="0" w:color="auto"/>
                <w:right w:val="none" w:sz="0" w:space="0" w:color="auto"/>
              </w:divBdr>
              <w:divsChild>
                <w:div w:id="1377698518">
                  <w:marLeft w:val="0"/>
                  <w:marRight w:val="0"/>
                  <w:marTop w:val="0"/>
                  <w:marBottom w:val="0"/>
                  <w:divBdr>
                    <w:top w:val="none" w:sz="0" w:space="0" w:color="auto"/>
                    <w:left w:val="none" w:sz="0" w:space="0" w:color="auto"/>
                    <w:bottom w:val="none" w:sz="0" w:space="0" w:color="auto"/>
                    <w:right w:val="none" w:sz="0" w:space="0" w:color="auto"/>
                  </w:divBdr>
                  <w:divsChild>
                    <w:div w:id="17076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338">
      <w:bodyDiv w:val="1"/>
      <w:marLeft w:val="0"/>
      <w:marRight w:val="0"/>
      <w:marTop w:val="0"/>
      <w:marBottom w:val="0"/>
      <w:divBdr>
        <w:top w:val="none" w:sz="0" w:space="0" w:color="auto"/>
        <w:left w:val="none" w:sz="0" w:space="0" w:color="auto"/>
        <w:bottom w:val="none" w:sz="0" w:space="0" w:color="auto"/>
        <w:right w:val="none" w:sz="0" w:space="0" w:color="auto"/>
      </w:divBdr>
      <w:divsChild>
        <w:div w:id="1711298516">
          <w:marLeft w:val="0"/>
          <w:marRight w:val="0"/>
          <w:marTop w:val="0"/>
          <w:marBottom w:val="0"/>
          <w:divBdr>
            <w:top w:val="none" w:sz="0" w:space="0" w:color="auto"/>
            <w:left w:val="none" w:sz="0" w:space="0" w:color="auto"/>
            <w:bottom w:val="none" w:sz="0" w:space="0" w:color="auto"/>
            <w:right w:val="none" w:sz="0" w:space="0" w:color="auto"/>
          </w:divBdr>
          <w:divsChild>
            <w:div w:id="90779157">
              <w:marLeft w:val="0"/>
              <w:marRight w:val="0"/>
              <w:marTop w:val="0"/>
              <w:marBottom w:val="0"/>
              <w:divBdr>
                <w:top w:val="none" w:sz="0" w:space="0" w:color="auto"/>
                <w:left w:val="none" w:sz="0" w:space="0" w:color="auto"/>
                <w:bottom w:val="none" w:sz="0" w:space="0" w:color="auto"/>
                <w:right w:val="none" w:sz="0" w:space="0" w:color="auto"/>
              </w:divBdr>
              <w:divsChild>
                <w:div w:id="457375801">
                  <w:marLeft w:val="0"/>
                  <w:marRight w:val="0"/>
                  <w:marTop w:val="0"/>
                  <w:marBottom w:val="0"/>
                  <w:divBdr>
                    <w:top w:val="none" w:sz="0" w:space="0" w:color="auto"/>
                    <w:left w:val="none" w:sz="0" w:space="0" w:color="auto"/>
                    <w:bottom w:val="none" w:sz="0" w:space="0" w:color="auto"/>
                    <w:right w:val="none" w:sz="0" w:space="0" w:color="auto"/>
                  </w:divBdr>
                  <w:divsChild>
                    <w:div w:id="11405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87474">
      <w:bodyDiv w:val="1"/>
      <w:marLeft w:val="0"/>
      <w:marRight w:val="0"/>
      <w:marTop w:val="0"/>
      <w:marBottom w:val="0"/>
      <w:divBdr>
        <w:top w:val="none" w:sz="0" w:space="0" w:color="auto"/>
        <w:left w:val="none" w:sz="0" w:space="0" w:color="auto"/>
        <w:bottom w:val="none" w:sz="0" w:space="0" w:color="auto"/>
        <w:right w:val="none" w:sz="0" w:space="0" w:color="auto"/>
      </w:divBdr>
      <w:divsChild>
        <w:div w:id="219245358">
          <w:marLeft w:val="0"/>
          <w:marRight w:val="0"/>
          <w:marTop w:val="0"/>
          <w:marBottom w:val="0"/>
          <w:divBdr>
            <w:top w:val="none" w:sz="0" w:space="0" w:color="auto"/>
            <w:left w:val="none" w:sz="0" w:space="0" w:color="auto"/>
            <w:bottom w:val="none" w:sz="0" w:space="0" w:color="auto"/>
            <w:right w:val="none" w:sz="0" w:space="0" w:color="auto"/>
          </w:divBdr>
          <w:divsChild>
            <w:div w:id="1150057857">
              <w:marLeft w:val="0"/>
              <w:marRight w:val="0"/>
              <w:marTop w:val="0"/>
              <w:marBottom w:val="0"/>
              <w:divBdr>
                <w:top w:val="none" w:sz="0" w:space="0" w:color="auto"/>
                <w:left w:val="none" w:sz="0" w:space="0" w:color="auto"/>
                <w:bottom w:val="none" w:sz="0" w:space="0" w:color="auto"/>
                <w:right w:val="none" w:sz="0" w:space="0" w:color="auto"/>
              </w:divBdr>
              <w:divsChild>
                <w:div w:id="1098869839">
                  <w:marLeft w:val="0"/>
                  <w:marRight w:val="0"/>
                  <w:marTop w:val="0"/>
                  <w:marBottom w:val="0"/>
                  <w:divBdr>
                    <w:top w:val="none" w:sz="0" w:space="0" w:color="auto"/>
                    <w:left w:val="none" w:sz="0" w:space="0" w:color="auto"/>
                    <w:bottom w:val="none" w:sz="0" w:space="0" w:color="auto"/>
                    <w:right w:val="none" w:sz="0" w:space="0" w:color="auto"/>
                  </w:divBdr>
                </w:div>
              </w:divsChild>
            </w:div>
            <w:div w:id="1525485109">
              <w:marLeft w:val="0"/>
              <w:marRight w:val="0"/>
              <w:marTop w:val="0"/>
              <w:marBottom w:val="0"/>
              <w:divBdr>
                <w:top w:val="none" w:sz="0" w:space="0" w:color="auto"/>
                <w:left w:val="none" w:sz="0" w:space="0" w:color="auto"/>
                <w:bottom w:val="none" w:sz="0" w:space="0" w:color="auto"/>
                <w:right w:val="none" w:sz="0" w:space="0" w:color="auto"/>
              </w:divBdr>
              <w:divsChild>
                <w:div w:id="17382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1487">
      <w:bodyDiv w:val="1"/>
      <w:marLeft w:val="0"/>
      <w:marRight w:val="0"/>
      <w:marTop w:val="0"/>
      <w:marBottom w:val="0"/>
      <w:divBdr>
        <w:top w:val="none" w:sz="0" w:space="0" w:color="auto"/>
        <w:left w:val="none" w:sz="0" w:space="0" w:color="auto"/>
        <w:bottom w:val="none" w:sz="0" w:space="0" w:color="auto"/>
        <w:right w:val="none" w:sz="0" w:space="0" w:color="auto"/>
      </w:divBdr>
      <w:divsChild>
        <w:div w:id="1264068791">
          <w:marLeft w:val="0"/>
          <w:marRight w:val="0"/>
          <w:marTop w:val="0"/>
          <w:marBottom w:val="0"/>
          <w:divBdr>
            <w:top w:val="none" w:sz="0" w:space="0" w:color="auto"/>
            <w:left w:val="none" w:sz="0" w:space="0" w:color="auto"/>
            <w:bottom w:val="none" w:sz="0" w:space="0" w:color="auto"/>
            <w:right w:val="none" w:sz="0" w:space="0" w:color="auto"/>
          </w:divBdr>
        </w:div>
      </w:divsChild>
    </w:div>
    <w:div w:id="2145273072">
      <w:bodyDiv w:val="1"/>
      <w:marLeft w:val="0"/>
      <w:marRight w:val="0"/>
      <w:marTop w:val="0"/>
      <w:marBottom w:val="0"/>
      <w:divBdr>
        <w:top w:val="none" w:sz="0" w:space="0" w:color="auto"/>
        <w:left w:val="none" w:sz="0" w:space="0" w:color="auto"/>
        <w:bottom w:val="none" w:sz="0" w:space="0" w:color="auto"/>
        <w:right w:val="none" w:sz="0" w:space="0" w:color="auto"/>
      </w:divBdr>
      <w:divsChild>
        <w:div w:id="123137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A5C18D3-FF7E-0A41-9E28-6C351425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Watt</dc:creator>
  <cp:keywords/>
  <dc:description/>
  <cp:lastModifiedBy>Katherine Watt</cp:lastModifiedBy>
  <cp:revision>5</cp:revision>
  <cp:lastPrinted>2022-12-19T13:42:00Z</cp:lastPrinted>
  <dcterms:created xsi:type="dcterms:W3CDTF">2023-01-13T17:45:00Z</dcterms:created>
  <dcterms:modified xsi:type="dcterms:W3CDTF">2023-01-14T23:20:00Z</dcterms:modified>
</cp:coreProperties>
</file>